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8.png" ContentType="image/png"/>
  <Override PartName="/word/media/image5.png" ContentType="image/png"/>
  <Override PartName="/word/media/image30.png" ContentType="image/png"/>
  <Override PartName="/word/media/image9.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r>
        <w:rPr/>
        <w:t>1</w:t>
        <w:tab/>
        <w:t>Daily activity patterns in the Anillaco Tuco-tuco (</w:t>
      </w:r>
      <w:r>
        <w:rPr>
          <w:i/>
          <w:iCs/>
        </w:rPr>
        <w:t>Ctenomys sp.</w:t>
      </w:r>
      <w:r>
        <w:rPr/>
        <w:t>)</w:t>
      </w:r>
    </w:p>
    <w:p>
      <w:pPr>
        <w:pStyle w:val="Heading2"/>
        <w:numPr>
          <w:ilvl w:val="0"/>
          <w:numId w:val="2"/>
        </w:numPr>
        <w:rPr/>
      </w:pPr>
      <w:r>
        <w:rPr/>
        <w:t>1.1</w:t>
        <w:tab/>
        <w:t>Introduction</w:t>
      </w:r>
    </w:p>
    <w:p>
      <w:pPr>
        <w:pStyle w:val="Compact"/>
        <w:numPr>
          <w:ilvl w:val="0"/>
          <w:numId w:val="3"/>
        </w:numPr>
        <w:rPr/>
      </w:pPr>
      <w:r>
        <w:rPr/>
        <w:t>Contexto:</w:t>
      </w:r>
    </w:p>
    <w:p>
      <w:pPr>
        <w:pStyle w:val="Compact"/>
        <w:numPr>
          <w:ilvl w:val="0"/>
          <w:numId w:val="3"/>
        </w:numPr>
        <w:rPr/>
      </w:pPr>
      <w:r>
        <w:rPr/>
        <w:t>Síntese do conhecimento:O que se sabe sobe o tema central?</w:t>
      </w:r>
    </w:p>
    <w:p>
      <w:pPr>
        <w:pStyle w:val="Compact"/>
        <w:numPr>
          <w:ilvl w:val="0"/>
          <w:numId w:val="3"/>
        </w:numPr>
        <w:rPr/>
      </w:pPr>
      <w:r>
        <w:rPr/>
        <w:t>Como a questão investigada se encaixa nesse contexto teórico?</w:t>
      </w:r>
    </w:p>
    <w:p>
      <w:pPr>
        <w:pStyle w:val="Compact"/>
        <w:numPr>
          <w:ilvl w:val="0"/>
          <w:numId w:val="3"/>
        </w:numPr>
        <w:rPr/>
      </w:pPr>
      <w:r>
        <w:rPr/>
        <w:t>Rever anotações</w:t>
      </w:r>
    </w:p>
    <w:p>
      <w:pPr>
        <w:pStyle w:val="FirstParagraph"/>
        <w:rPr/>
      </w:pPr>
      <w:r>
        <w:rPr/>
        <w:t>objetivos: - tbm testar a necessidade de classificar para ritmicidade</w:t>
      </w:r>
      <w:bookmarkStart w:id="0" w:name="introduction"/>
      <w:bookmarkEnd w:id="0"/>
    </w:p>
    <w:p>
      <w:pPr>
        <w:pStyle w:val="Heading2"/>
        <w:numPr>
          <w:ilvl w:val="0"/>
          <w:numId w:val="2"/>
        </w:numPr>
        <w:rPr/>
      </w:pPr>
      <w:r>
        <w:rPr/>
        <w:t>1.2</w:t>
        <w:tab/>
        <w:t>Methods</w:t>
      </w:r>
    </w:p>
    <w:p>
      <w:pPr>
        <w:pStyle w:val="Compact"/>
        <w:numPr>
          <w:ilvl w:val="0"/>
          <w:numId w:val="14"/>
        </w:numPr>
        <w:rPr/>
      </w:pPr>
      <w:r>
        <w:rPr/>
        <w:t>Adicionar descrição da estatistica</w:t>
      </w:r>
    </w:p>
    <w:p>
      <w:pPr>
        <w:pStyle w:val="Compact"/>
        <w:numPr>
          <w:ilvl w:val="0"/>
          <w:numId w:val="15"/>
        </w:numPr>
        <w:rPr/>
      </w:pPr>
      <w:r>
        <w:rPr/>
        <w:t>Adicionar Kernel Density Estimation para os padrões</w:t>
      </w:r>
    </w:p>
    <w:p>
      <w:pPr>
        <w:pStyle w:val="Heading3"/>
        <w:rPr/>
      </w:pPr>
      <w:r>
        <w:rPr/>
        <w:t>1.2.1</w:t>
        <w:tab/>
        <w:t>Study Species</w:t>
      </w:r>
    </w:p>
    <w:p>
      <w:pPr>
        <w:pStyle w:val="FirstParagraph"/>
        <w:rPr/>
      </w:pPr>
      <w:r>
        <w:rPr/>
        <w:t xml:space="preserve">The studied </w:t>
      </w:r>
      <w:r>
        <w:rPr>
          <w:i/>
          <w:iCs/>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xml:space="preserve">). In other studies this </w:t>
      </w:r>
      <w:r>
        <w:rPr>
          <w:i/>
          <w:iCs/>
        </w:rPr>
        <w:t>Ctenomys’</w:t>
      </w:r>
      <w:r>
        <w:rPr/>
        <w:t xml:space="preserve"> species has been referred informally as the Anillaco tuco-tuco (</w:t>
      </w:r>
      <w:hyperlink w:anchor="ref-amaya2016">
        <w:r>
          <w:rPr>
            <w:rStyle w:val="InternetLink"/>
          </w:rPr>
          <w:t>Amaya et al. 2016</w:t>
        </w:r>
      </w:hyperlink>
      <w:r>
        <w:rPr/>
        <w:t xml:space="preserve">) and as </w:t>
      </w:r>
      <w:r>
        <w:rPr>
          <w:i/>
          <w:iCs/>
        </w:rPr>
        <w:t>Ctenomys</w:t>
      </w:r>
      <w:r>
        <w:rPr/>
        <w:t xml:space="preserve"> aff. </w:t>
      </w:r>
      <w:r>
        <w:rPr>
          <w:i/>
          <w:iCs/>
        </w:rPr>
        <w:t>knightii</w:t>
      </w:r>
      <w:r>
        <w:rPr/>
        <w:t xml:space="preserve"> (</w:t>
      </w:r>
      <w:hyperlink w:anchor="ref-tomotani2012">
        <w:r>
          <w:rPr>
            <w:rStyle w:val="InternetLink"/>
          </w:rPr>
          <w:t>Tomotani et al. 2012</w:t>
        </w:r>
      </w:hyperlink>
      <w:r>
        <w:rPr/>
        <w:t xml:space="preserve">) or </w:t>
      </w:r>
      <w:r>
        <w:rPr>
          <w:i/>
          <w:iCs/>
        </w:rPr>
        <w:t>Ctenomys</w:t>
      </w:r>
      <w:r>
        <w:rPr/>
        <w:t xml:space="preserve"> cf. </w:t>
      </w:r>
      <w:r>
        <w:rPr>
          <w:i/>
          <w:iCs/>
        </w:rPr>
        <w:t>knightii</w:t>
      </w:r>
      <w:r>
        <w:rPr/>
        <w:t xml:space="preserve"> (</w:t>
      </w:r>
      <w:hyperlink w:anchor="ref-valentinuzzi2009">
        <w:r>
          <w:rPr>
            <w:rStyle w:val="InternetLink"/>
          </w:rPr>
          <w:t>Valentinuzzi et al. 2009</w:t>
        </w:r>
      </w:hyperlink>
      <w:r>
        <w:rPr/>
        <w:t>).</w:t>
      </w:r>
      <w:bookmarkStart w:id="1" w:name="study-species"/>
      <w:bookmarkEnd w:id="1"/>
    </w:p>
    <w:p>
      <w:pPr>
        <w:pStyle w:val="Heading3"/>
        <w:rPr/>
      </w:pPr>
      <w:r>
        <w:rPr/>
        <w:t>1.2.2</w:t>
        <w:tab/>
        <w:t>Study Site</w:t>
      </w:r>
    </w:p>
    <w:p>
      <w:pPr>
        <w:pStyle w:val="FirstParagraph"/>
        <w:rPr/>
      </w:pPr>
      <w:r>
        <w:rPr/>
        <w:t>Field work was conducted at a site located approximately 5km away from the village of Anillaco, in the province of La Rioja, northwest of Argentina. The study site (-66.95°, -028.80, 1325m; Fig. 1.1) is a relatively undisturbed natural area, with little human disturbance and no artificial light source. The area is surrounded by the Sierra de Velasco moutain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(Fig. 2.1). The climate is arid with marked daily cycle and seasonality in temperature and rainfall (Fig. 3.1). The mean annual temperature is 16.6°C (</w:t>
      </w:r>
      <w:hyperlink w:anchor="ref-fracchia2011">
        <w:r>
          <w:rPr>
            <w:rStyle w:val="InternetLink"/>
          </w:rPr>
          <w:t>Fracchia et al. 2011</w:t>
        </w:r>
      </w:hyperlink>
      <w:r>
        <w:rPr/>
        <w:t>), with clear differences in the daily range and between summer and winter months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114935" distR="114935">
            <wp:extent cx="5943600" cy="5943600"/>
            <wp:effectExtent l="0" t="0" r="0" b="0"/>
            <wp:docPr id="1" name="Picture" descr="Figure 1.1: Study site location (orange icon) at the Monte Desert, approximately 5km away form the village of Anillaco, northwest of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icon) at the Monte Desert, approximately 5km away form the village of Anillaco, northwest of Argentina"/>
                    <pic:cNvPicPr>
                      <a:picLocks noChangeAspect="1" noChangeArrowheads="1"/>
                    </pic:cNvPicPr>
                  </pic:nvPicPr>
                  <pic:blipFill>
                    <a:blip r:embed="rId2"/>
                    <a:stretch>
                      <a:fillRect/>
                    </a:stretch>
                  </pic:blipFill>
                  <pic:spPr bwMode="auto">
                    <a:xfrm>
                      <a:off x="0" y="0"/>
                      <a:ext cx="5943600" cy="5943600"/>
                    </a:xfrm>
                    <a:prstGeom prst="rect">
                      <a:avLst/>
                    </a:prstGeom>
                  </pic:spPr>
                </pic:pic>
              </a:graphicData>
            </a:graphic>
          </wp:inline>
        </w:drawing>
      </w:r>
    </w:p>
    <w:p>
      <w:pPr>
        <w:pStyle w:val="ImageCaption"/>
        <w:rPr/>
      </w:pPr>
      <w:r>
        <w:rPr/>
        <w:t>Figure 1.1: Study site location (orange icon) at the Monte Desert, approximately 5km away form the village of Anillaco, northwest of Argentina</w:t>
      </w:r>
      <w:bookmarkStart w:id="2" w:name="study-site"/>
      <w:bookmarkEnd w:id="2"/>
    </w:p>
    <w:p>
      <w:pPr>
        <w:pStyle w:val="Heading3"/>
        <w:rPr/>
      </w:pPr>
      <w:r>
        <w:rPr/>
        <w:t>1.2.3</w:t>
        <w:tab/>
        <w:t>Animal Capture and Handling</w:t>
      </w:r>
    </w:p>
    <w:p>
      <w:pPr>
        <w:pStyle w:val="FirstParagraph"/>
        <w:rPr/>
      </w:pPr>
      <w:r>
        <w:rPr/>
        <w:t>A total of 47 tuco-tucos were captured between March 2019 and March 2020. Out of these, 30 were part of the present study. Trapping was conducted in four different campaigns to the study site. Three campaigns were done in 2019 during March-April, July and October. A fourth campaign was done in February 2020. A fifth campaign was planned to occur in May 2020 but had to be canceled due to the COVID outbreak. Tuco-tucos were captured using a custom-made PVC tubing trap (35cm length, 10cm diameter) with a spring-loaded aluminum door at one end and a cul-de-sac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rPr/>
      </w:pPr>
      <w:r>
        <w:rPr/>
        <w:t>After capture, adult tucos (&gt;120g) were first lightly anesthetized in order to be carefully examined and receive a biologging collar. We used a clear plastic anesthesia chamber (318.5cm³) with a clip-on lid and a cotton ball inside. The cotton ball received approximately 0.5 mL of isoflurane (</w:t>
      </w:r>
      <w:r>
        <w:rPr>
          <w:b/>
          <w:bCs/>
          <w:i/>
          <w:iCs/>
        </w:rPr>
        <w:t>REF</w:t>
      </w:r>
      <w:r>
        <w:rPr/>
        <w:t>)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assesed for reproductive status, marked with a subcutaneous identification PITTag (Passive Integrative Transponder. Allflex, Brasil) and fitted with a collar bearing biologgers (See Activity Sensors).</w:t>
      </w:r>
    </w:p>
    <w:p>
      <w:pPr>
        <w:pStyle w:val="TextBody"/>
        <w:rPr/>
      </w:pPr>
      <w:r>
        <w:rPr/>
        <w:t xml:space="preserve">Animals were released in the same burrow they were originally captured. They were left in the field for 5-18 days before being recaptured for collar recovery. The telemetry transmitter were used to maximize the animals relocation, thus avoiding the loss of the other devices.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bookmarkStart w:id="3" w:name="animal-capture-and-handling"/>
      <w:bookmarkEnd w:id="3"/>
    </w:p>
    <w:p>
      <w:pPr>
        <w:pStyle w:val="Heading3"/>
        <w:rPr/>
      </w:pPr>
      <w:r>
        <w:rPr/>
        <w:t>1.2.4</w:t>
        <w:tab/>
        <w:t>Activity Sensors</w:t>
      </w:r>
    </w:p>
    <w:p>
      <w:pPr>
        <w:pStyle w:val="FirstParagraph"/>
        <w:rPr/>
      </w:pPr>
      <w:r>
        <w:rPr/>
        <w:t>Accelerometers (Axy-4, TechnoSmart, Italy) and lightloggers (W65, Migrate Technology, UK) were used to record general motor activity and light exposure, respectively. These biologgers were attached to a collar made of a cable tie inserted through silicon tubing (</w:t>
      </w:r>
      <w:hyperlink w:anchor="ref-jannetti2019">
        <w:r>
          <w:rPr>
            <w:rStyle w:val="InternetLink"/>
          </w:rPr>
          <w:t>Jannetti et al. 2019</w:t>
        </w:r>
      </w:hyperlink>
      <w:r>
        <w:rPr/>
        <w:t xml:space="preserve">; </w:t>
      </w:r>
      <w:hyperlink w:anchor="ref-williams2014">
        <w:r>
          <w:rPr>
            <w:rStyle w:val="InternetLink"/>
          </w:rPr>
          <w:t>Williams et al. 2014</w:t>
        </w:r>
      </w:hyperlink>
      <w:r>
        <w:rPr/>
        <w:t>).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with a 4G sensitivity. Lightloggers were set to sample light every minute but only recorded the maximum sampled value each 5 minutes.</w:t>
      </w:r>
    </w:p>
    <w:p>
      <w:pPr>
        <w:pStyle w:val="CaptionedFigure"/>
        <w:rPr/>
      </w:pPr>
      <w:r>
        <w:rPr/>
        <w:drawing>
          <wp:inline distT="0" distB="0" distL="114935" distR="114935">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3"/>
                    <a:stretch>
                      <a:fillRect/>
                    </a:stretch>
                  </pic:blipFill>
                  <pic:spPr bwMode="auto">
                    <a:xfrm>
                      <a:off x="0" y="0"/>
                      <a:ext cx="5943600" cy="5594350"/>
                    </a:xfrm>
                    <a:prstGeom prst="rect">
                      <a:avLst/>
                    </a:prstGeom>
                  </pic:spPr>
                </pic:pic>
              </a:graphicData>
            </a:graphic>
          </wp:inline>
        </w:drawing>
      </w:r>
    </w:p>
    <w:p>
      <w:pPr>
        <w:pStyle w:val="ImageCaption"/>
        <w:rPr/>
      </w:pPr>
      <w:r>
        <w:rPr/>
        <w:t>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bookmarkStart w:id="4" w:name="activity-sensors"/>
      <w:bookmarkEnd w:id="4"/>
    </w:p>
    <w:p>
      <w:pPr>
        <w:pStyle w:val="Heading3"/>
        <w:rPr/>
      </w:pPr>
      <w:r>
        <w:rPr/>
        <w:t>1.2.5</w:t>
        <w:tab/>
        <w:t>Data Processing</w:t>
      </w:r>
    </w:p>
    <w:p>
      <w:pPr>
        <w:pStyle w:val="FirstParagraph"/>
        <w:rPr/>
      </w:pPr>
      <w:r>
        <w:rPr/>
        <w:t xml:space="preserve">Data were recorded on board of the sensors and later downloaded and converted to raw text files using the software provided by the logger manufacturers. Acceleration data was used to measure gross motor activity. Tri-axial acceleration data was first reduced to one dimension using the Vectorial Dynamic Body Acceleration (VeDBA, </w:t>
      </w:r>
      <w:hyperlink w:anchor="ref-qasem2012">
        <w:r>
          <w:rPr>
            <w:rStyle w:val="InternetLink"/>
          </w:rPr>
          <w:t>Qasem et al. 2012</w:t>
        </w:r>
      </w:hyperlink>
      <w:r>
        <w:rPr/>
        <w:t>). VeDBA is commonly used as a proxy for the animal’s activity level and energy expenditure (</w:t>
      </w:r>
      <w:r>
        <w:rPr>
          <w:b/>
          <w:bCs/>
        </w:rPr>
        <w:t>REFS</w:t>
      </w:r>
      <w:r>
        <w:rPr/>
        <w:t>). VeDBA was calculated by: (i) Estimating the effect of the gravitational force over the accelerometer, also known as static acceleration. The static acceleration can be estimated by applying a moving average over the raw acceleration data. There is not a consensus over the the number of points to calculate the moving average with, which can be dependent on the study species and device’s recording frequency. In this study we used a 4-second moving average after following the methodology proposed by (</w:t>
      </w:r>
      <w:hyperlink w:anchor="ref-shepard2008">
        <w:r>
          <w:rPr>
            <w:rStyle w:val="InternetLink"/>
          </w:rPr>
          <w:t>Shepard et al. 2008</w:t>
        </w:r>
      </w:hyperlink>
      <w:r>
        <w:rPr/>
        <w:t>, Fig. ??). (ii) Calculating the acceleration correspondent to the animal’s movement, also know as Dynamic Body Acceleration (DBA). The DBA was calculated by subtracting the static acceleration from the raw data. (iii) Lastly, we calculate the VeDBA by the vectorial sum of the DBA over the device’s axes.</w:t>
      </w:r>
    </w:p>
    <w:p>
      <w:pPr>
        <w:pStyle w:val="TextBody"/>
        <w:jc w:val="center"/>
        <w:rPr/>
      </w:pPr>
      <w:r>
        <w:rPr/>
      </w:r>
      <m:oMathPara xmlns:m="http://schemas.openxmlformats.org/officeDocument/2006/math">
        <m:oMathParaPr>
          <m:jc m:val="center"/>
        </m:oMathParaPr>
        <m:oMath>
          <m:r>
            <w:rPr>
              <w:rFonts w:ascii="Cambria Math" w:hAnsi="Cambria Math"/>
            </w:rPr>
            <m:t xml:space="preserve">V</m:t>
          </m:r>
          <m:r>
            <w:rPr>
              <w:rFonts w:ascii="Cambria Math" w:hAnsi="Cambria Math"/>
            </w:rPr>
            <m:t xml:space="preserve">e</m:t>
          </m:r>
          <m:r>
            <w:rPr>
              <w:rFonts w:ascii="Cambria Math" w:hAnsi="Cambria Math"/>
            </w:rPr>
            <m:t xml:space="preserve">D</m:t>
          </m:r>
          <m:r>
            <w:rPr>
              <w:rFonts w:ascii="Cambria Math" w:hAnsi="Cambria Math"/>
            </w:rPr>
            <m:t xml:space="preserve">B</m:t>
          </m:r>
          <m:r>
            <w:rPr>
              <w:rFonts w:ascii="Cambria Math" w:hAnsi="Cambria Math"/>
            </w:rPr>
            <m:t xml:space="preserve">A</m:t>
          </m:r>
          <m:r>
            <w:rPr>
              <w:rFonts w:ascii="Cambria Math" w:hAnsi="Cambria Math"/>
            </w:rPr>
            <m:t xml:space="preserve">=</m:t>
          </m:r>
          <m:rad>
            <m:radPr>
              <m:degHide m:val="1"/>
            </m:radPr>
            <m:deg/>
            <m:e>
              <m:r>
                <w:rPr>
                  <w:rFonts w:ascii="Cambria Math" w:hAnsi="Cambria Math"/>
                </w:rPr>
                <m:t xml:space="preserve">X</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Y</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Z</m:t>
              </m:r>
              <m:sSup>
                <m:e>
                  <m:r>
                    <w:rPr>
                      <w:rFonts w:ascii="Cambria Math" w:hAnsi="Cambria Math"/>
                    </w:rPr>
                    <m:t xml:space="preserve">d</m:t>
                  </m:r>
                </m:e>
                <m:sup>
                  <m:r>
                    <w:rPr>
                      <w:rFonts w:ascii="Cambria Math" w:hAnsi="Cambria Math"/>
                    </w:rPr>
                    <m:t xml:space="preserve">2</m:t>
                  </m:r>
                </m:sup>
              </m:sSup>
            </m:e>
          </m:rad>
        </m:oMath>
      </m:oMathPara>
    </w:p>
    <w:p>
      <w:pPr>
        <w:pStyle w:val="FirstParagraph"/>
        <w:rPr/>
      </w:pPr>
      <w:r>
        <w:rPr/>
        <w:t xml:space="preserve">Once VeDBA was calculated, the 1Hz acceleration data was downsampled by taking the median over a 1 minute non-overlapping sliding window. All VeDBA datapoints were classified as occuring during the daytime or nighttime based on the daylength of recording dates. Daylength was calculated using the </w:t>
      </w:r>
      <w:r>
        <w:rPr>
          <w:i/>
          <w:iCs/>
        </w:rPr>
        <w:t>maptools</w:t>
      </w:r>
      <w:r>
        <w:rPr/>
        <w:t xml:space="preserve"> package in R (</w:t>
      </w:r>
      <w:hyperlink w:anchor="ref-bivand2020">
        <w:r>
          <w:rPr>
            <w:rStyle w:val="InternetLink"/>
          </w:rPr>
          <w:t>Bivand and Lewin-Koh 2020</w:t>
        </w:r>
      </w:hyperlink>
      <w:r>
        <w:rPr/>
        <w: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occuring during the day or nighttime. Daylength change along the year can be seen in the Appendix (4.1).</w:t>
      </w:r>
    </w:p>
    <w:p>
      <w:pPr>
        <w:pStyle w:val="TextBody"/>
        <w:rPr/>
      </w:pPr>
      <w:r>
        <w:rPr/>
        <w:t xml:space="preserve">Light exposure data was used to further classify VeDBA data points as above or below ground. The threshold for considering a data point as being aboveground was 2 lux, consistent with what has been done in </w:t>
      </w:r>
      <w:hyperlink w:anchor="ref-jannetti2019">
        <w:r>
          <w:rPr>
            <w:rStyle w:val="InternetLink"/>
          </w:rPr>
          <w:t>Jannetti et al.</w:t>
        </w:r>
      </w:hyperlink>
      <w:r>
        <w:rPr/>
        <w:t xml:space="preserve"> (</w:t>
      </w:r>
      <w:hyperlink w:anchor="ref-jannetti2019">
        <w:r>
          <w:rPr>
            <w:rStyle w:val="InternetLink"/>
          </w:rPr>
          <w:t>2019</w:t>
        </w:r>
      </w:hyperlink>
      <w:r>
        <w:rPr/>
        <w:t>).</w:t>
      </w:r>
    </w:p>
    <w:p>
      <w:pPr>
        <w:pStyle w:val="TextBody"/>
        <w:rPr/>
      </w:pPr>
      <w:r>
        <w:rPr/>
        <w:t>Accelerometer and lightlogger data were merged accordingly to the date and times of recordings using purposely written R scripts (</w:t>
      </w:r>
      <w:hyperlink w:anchor="ref-rcoreteam2020">
        <w:r>
          <w:rPr>
            <w:rStyle w:val="InternetLink"/>
          </w:rPr>
          <w:t>R Core Team 2020</w:t>
        </w:r>
      </w:hyperlink>
      <w:r>
        <w:rPr/>
        <w:t>). Time of recordings between both devices were not synchronized to the minute. Consequently, we had to round lightlogger recording times to the nearest 5 minutes in order to merge both data streams.</w:t>
      </w:r>
    </w:p>
    <w:p>
      <w:pPr>
        <w:pStyle w:val="TextBody"/>
        <w:rPr/>
      </w:pPr>
      <w:r>
        <w:rPr/>
        <w:t>In order exclude any effects that capture and recapture can have in the first days of recordings we removed the first and last days of all dataset. In cases where the recapture took longer than one day we also excluded these days. This corresponds to the last 5 days of two animals in February (FEV05 and JUL16); and the last 2 days of one animal in July (JUL23).</w:t>
      </w:r>
      <w:bookmarkStart w:id="5" w:name="data-processing"/>
      <w:bookmarkEnd w:id="5"/>
    </w:p>
    <w:p>
      <w:pPr>
        <w:pStyle w:val="Heading3"/>
        <w:rPr/>
      </w:pPr>
      <w:r>
        <w:rPr/>
        <w:t>1.2.6</w:t>
        <w:tab/>
        <w:t>Hidden Markov Models</w:t>
      </w:r>
    </w:p>
    <w:p>
      <w:pPr>
        <w:pStyle w:val="FirstParagraph"/>
        <w:rPr/>
      </w:pPr>
      <w:r>
        <w:rPr/>
        <w:t>In order to further analyze and classify the 1-minute VeDBA data we used Hidden Markov Models (HMMs). HMMs are a type of time series model, therefore, they take into account the temporal dependency of the observations (</w:t>
      </w:r>
      <w:hyperlink w:anchor="ref-leosbarajas2017">
        <w:r>
          <w:rPr>
            <w:rStyle w:val="InternetLink"/>
          </w:rPr>
          <w:t>Leos-Barajas et al. 2017</w:t>
        </w:r>
      </w:hyperlink>
      <w:r>
        <w:rPr/>
        <w:t>). Consequently HMMs are well suited to model accelerometer data given their natural temporal dependency (</w:t>
      </w:r>
      <w:hyperlink w:anchor="ref-leosbarajas2017">
        <w:r>
          <w:rPr>
            <w:rStyle w:val="InternetLink"/>
          </w:rPr>
          <w:t>Leos-Barajas et al. 2017</w:t>
        </w:r>
      </w:hyperlink>
      <w:r>
        <w:rPr/>
        <w:t xml:space="preserve">; </w:t>
      </w:r>
      <w:hyperlink w:anchor="ref-patterson2019">
        <w:r>
          <w:rPr>
            <w:rStyle w:val="InternetLink"/>
          </w:rPr>
          <w:t>A. Patterson et al. 2019</w:t>
        </w:r>
      </w:hyperlink>
      <w:r>
        <w:rPr/>
        <w:t xml:space="preserve">). 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xml:space="preserve">), VeDBA in our case, and an underlying,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The </w:t>
      </w:r>
      <w:r>
        <w:rPr>
          <w:i/>
          <w:iCs/>
        </w:rPr>
        <w:t>state process</w:t>
      </w:r>
      <w:r>
        <w:rPr/>
        <w:t xml:space="preserve"> is what drives the observations and what we are interested in estimating, which roughly corresponds to behavioral states (Fig. 1.3). We determined </w:t>
      </w:r>
      <w:r>
        <w:rPr>
          <w:i/>
          <w:iCs/>
        </w:rPr>
        <w:t>a priori</w:t>
      </w:r>
      <w:r>
        <w:rPr/>
        <w:t xml:space="preserve"> a possible number of three different states. This decision was made based on our research question, in the VeDBA distributions (Fig. ??) and in the biological interpretability of the states.</w:t>
      </w:r>
    </w:p>
    <w:p>
      <w:pPr>
        <w:pStyle w:val="TextBody"/>
        <w:rPr/>
      </w:pPr>
      <w:r>
        <w:rPr/>
        <w:t xml:space="preserve">The </w:t>
      </w:r>
      <w:r>
        <w:rPr>
          <w:i/>
          <w:iCs/>
        </w:rPr>
        <w:t>state process</w:t>
      </w:r>
      <w:r>
        <w:rPr/>
        <w:t xml:space="preserve"> follows the Markov Property and take temporal dependency into account (</w:t>
      </w:r>
      <w:hyperlink w:anchor="ref-zucchini2016">
        <w:r>
          <w:rPr>
            <w:rStyle w:val="InternetLink"/>
          </w:rPr>
          <w:t>Zucchini, Iain MacDonald, and Roland Langrock 2016</w:t>
        </w:r>
      </w:hyperlink>
      <w:r>
        <w:rPr/>
        <w:t xml:space="preserve">).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hyperlink w:anchor="ref-zucchini2016">
        <w:r>
          <w:rPr>
            <w:rStyle w:val="InternetLink"/>
          </w:rPr>
          <w:t>Zucchini, Iain MacDonald, and Roland Langrock 2016</w:t>
        </w:r>
      </w:hyperlink>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The changes in probabilities between states are also part of the of HMM formulation, summarized by a Transition Probability Matrix that gives the probability of transitioning from the current state to a possible future state.</w:t>
      </w:r>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distributions come from a common family (e.g. Normal, Weibull or Gamma) and each one have their own set of parameter values. The active distribution is determined by the state the system is in at a given time </w:t>
      </w:r>
      <w:r>
        <w:rPr/>
      </w:r>
      <m:oMath xmlns:m="http://schemas.openxmlformats.org/officeDocument/2006/math">
        <m:r>
          <w:rPr>
            <w:rFonts w:ascii="Cambria Math" w:hAnsi="Cambria Math"/>
          </w:rPr>
          <m:t xml:space="preserve">t</m:t>
        </m:r>
      </m:oMath>
      <w:r>
        <w:rPr/>
        <w:t>. The observations therefore are a realization from one of these distributions. The distribution parameters, state transition probabilities and other model parameters can be estimated by numerical maximization of the Likelihood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aptionedFigure"/>
        <w:rPr/>
      </w:pPr>
      <w:r>
        <w:rPr/>
        <w:drawing>
          <wp:inline distT="0" distB="0" distL="114935" distR="114935">
            <wp:extent cx="3810000" cy="92202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4"/>
                    <a:stretch>
                      <a:fillRect/>
                    </a:stretch>
                  </pic:blipFill>
                  <pic:spPr bwMode="auto">
                    <a:xfrm>
                      <a:off x="0" y="0"/>
                      <a:ext cx="3810000" cy="922020"/>
                    </a:xfrm>
                    <a:prstGeom prst="rect">
                      <a:avLst/>
                    </a:prstGeom>
                  </pic:spPr>
                </pic:pic>
              </a:graphicData>
            </a:graphic>
          </wp:inline>
        </w:drawing>
      </w:r>
    </w:p>
    <w:p>
      <w:pPr>
        <w:pStyle w:val="ImageCaption"/>
        <w:rPr/>
      </w:pPr>
      <w:r>
        <w:rPr/>
        <w:t>Figure 1.3: Basic dependence structure for a Hidden Markov Model</w:t>
      </w:r>
      <w:bookmarkStart w:id="6" w:name="hidden-markov-models"/>
      <w:bookmarkEnd w:id="6"/>
    </w:p>
    <w:p>
      <w:pPr>
        <w:pStyle w:val="Heading3"/>
        <w:rPr/>
      </w:pPr>
      <w:r>
        <w:rPr/>
        <w:t>1.2.7</w:t>
        <w:tab/>
        <w:t>Model Formulation and State Classification</w:t>
      </w:r>
    </w:p>
    <w:p>
      <w:pPr>
        <w:pStyle w:val="FirstParagraph"/>
        <w:rPr/>
      </w:pPr>
      <w:r>
        <w:rPr/>
        <w:t xml:space="preserve">In our models we have chosen VeDBA as our activity metric. To model the VeDBA we determined </w:t>
      </w:r>
      <w:r>
        <w:rPr>
          <w:i/>
          <w:iCs/>
        </w:rPr>
        <w:t>a priori</w:t>
      </w:r>
      <w:r>
        <w:rPr/>
        <w:t xml:space="preserve"> that the hidden </w:t>
      </w:r>
      <w:r>
        <w:rPr>
          <w:i/>
          <w:iCs/>
        </w:rPr>
        <w:t>state-process</w:t>
      </w:r>
      <w:r>
        <w:rPr/>
        <w:t xml:space="preserve"> could assume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It is important to note that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“Rest,”“Medium Intensity Activity” and “High Intensity Activity.”</w:t>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T. A. Patterson et al. 2009</w:t>
        </w:r>
      </w:hyperlink>
      <w:r>
        <w:rPr/>
        <w:t xml:space="preserve">; </w:t>
      </w:r>
      <w:hyperlink w:anchor="ref-langrock2012">
        <w:r>
          <w:rPr>
            <w:rStyle w:val="InternetLink"/>
          </w:rPr>
          <w:t>Langrock et al. 2012</w:t>
        </w:r>
      </w:hyperlink>
      <w:r>
        <w:rPr/>
        <w:t xml:space="preserve">). We fitted a 3-state HMM to the 1-minute VeDBA data using a ‘complete pooling’ approach. This means that the </w:t>
      </w:r>
      <w:r>
        <w:rPr>
          <w:i/>
          <w:iCs/>
        </w:rPr>
        <w:t>state-dependent</w:t>
      </w:r>
      <w:r>
        <w:rPr/>
        <w:t xml:space="preserve"> 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 ??) we included season as a covariate in the </w:t>
      </w:r>
      <w:r>
        <w:rPr>
          <w:i/>
          <w:iCs/>
        </w:rPr>
        <w:t>state process</w:t>
      </w:r>
      <w:r>
        <w:rPr/>
        <w:t>. Hence we let the probability of changing from one state to another vary in relation to the season/month of the year.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We used the gamma distribution, parametrized with mean and standard deviation, to model VeDBA. The gamma distribution is a flexible distribution, usually used in movement studies (</w:t>
      </w:r>
      <w:r>
        <w:rPr>
          <w:b/>
          <w:bCs/>
        </w:rPr>
        <w:t>REFS</w:t>
      </w:r>
      <w:r>
        <w:rPr/>
        <w:t xml:space="preserve">), that accommodates positive right-skewed data. Appropriate starting values for likelihood maximization of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algorithm (</w:t>
      </w:r>
      <w:hyperlink w:anchor="ref-zucchini2016">
        <w:r>
          <w:rPr>
            <w:rStyle w:val="InternetLink"/>
          </w:rPr>
          <w:t>Zucchini, Iain MacDonald, and Roland Langrock 2016</w:t>
        </w:r>
      </w:hyperlink>
      <w:r>
        <w:rPr/>
        <w:t xml:space="preserve">). The decoded sequence was then used to conducted other </w:t>
      </w:r>
      <w:r>
        <w:rPr>
          <w:i/>
          <w:iCs/>
        </w:rPr>
        <w:t>post-hoc</w:t>
      </w:r>
      <w:r>
        <w:rPr/>
        <w:t xml:space="preserve"> analysis of diurnality and rhythmicity. We checked model assumptions and goodness of fit by visual inspection of the pseudo-residuals (</w:t>
      </w:r>
      <w:hyperlink w:anchor="ref-zucchini2016">
        <w:r>
          <w:rPr>
            <w:rStyle w:val="InternetLink"/>
          </w:rPr>
          <w:t>Zucchini, Iain MacDonald, and Roland Langrock 2016</w:t>
        </w:r>
      </w:hyperlink>
      <w:r>
        <w:rPr/>
        <w:t>).</w:t>
      </w:r>
    </w:p>
    <w:p>
      <w:pPr>
        <w:pStyle w:val="Compact"/>
        <w:numPr>
          <w:ilvl w:val="0"/>
          <w:numId w:val="16"/>
        </w:numPr>
        <w:rPr/>
      </w:pPr>
      <w:r>
        <w:rPr/>
        <w:t xml:space="preserve">michelot 2 017 - Estimation and simulation of foraging trips in land-based marine predators. Ecology 98, 1932–1944. </w:t>
      </w:r>
      <w:hyperlink r:id="rId5">
        <w:r>
          <w:rPr>
            <w:rStyle w:val="InternetLink"/>
          </w:rPr>
          <w:t>doi.org/10.1002/ecy.1880</w:t>
        </w:r>
      </w:hyperlink>
      <w:bookmarkStart w:id="7" w:name="Xdb6b397daf2ee291d713b2ff7b5fbb4ce7f1bb6"/>
      <w:bookmarkEnd w:id="7"/>
    </w:p>
    <w:p>
      <w:pPr>
        <w:pStyle w:val="Heading3"/>
        <w:rPr/>
      </w:pPr>
      <w:r>
        <w:rPr/>
        <w:t>1.2.8</w:t>
        <w:tab/>
        <w:t>Diurnality Index</w:t>
      </w:r>
    </w:p>
    <w:p>
      <w:pPr>
        <w:pStyle w:val="FirstParagraph"/>
        <w:rPr/>
      </w:pPr>
      <w:r>
        <w:rPr/>
        <w:t xml:space="preserve">We defined diurnality as the percentage of daytime the animals spent in one of the states in relation to the total time spent in the same state during both daytime and night-time. This is also corrected by the daylength of each season following </w:t>
      </w:r>
      <w:hyperlink w:anchor="ref-activity2000">
        <w:r>
          <w:rPr>
            <w:rStyle w:val="InternetLink"/>
          </w:rPr>
          <w:t>Halle and Stenseth</w:t>
        </w:r>
      </w:hyperlink>
      <w:r>
        <w:rPr/>
        <w:t xml:space="preserve"> (</w:t>
      </w:r>
      <w:hyperlink w:anchor="ref-activity2000">
        <w:r>
          <w:rPr>
            <w:rStyle w:val="InternetLink"/>
          </w:rPr>
          <w:t>2000</w:t>
        </w:r>
      </w:hyperlink>
      <w:r>
        <w:rPr/>
        <w:t xml:space="preserve">) and </w:t>
      </w:r>
      <w:hyperlink w:anchor="ref-jannetti2019">
        <w:r>
          <w:rPr>
            <w:rStyle w:val="InternetLink"/>
          </w:rPr>
          <w:t>Jannetti et al.</w:t>
        </w:r>
      </w:hyperlink>
      <w:r>
        <w:rPr/>
        <w:t xml:space="preserve"> (</w:t>
      </w:r>
      <w:hyperlink w:anchor="ref-jannetti2019">
        <w:r>
          <w:rPr>
            <w:rStyle w:val="InternetLink"/>
          </w:rPr>
          <w:t>2019</w:t>
        </w:r>
      </w:hyperlink>
      <w:r>
        <w:rPr/>
        <w:t xml:space="preserve">). The formula for the calculation of diurnality is shown below, where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d</m:t>
            </m:r>
          </m:sub>
        </m:sSub>
        <m:r>
          <w:rPr>
            <w:rFonts w:ascii="Cambria Math" w:hAnsi="Cambria Math"/>
          </w:rPr>
          <m:t xml:space="preserve">a</m:t>
        </m:r>
        <m:r>
          <w:rPr>
            <w:rFonts w:ascii="Cambria Math" w:hAnsi="Cambria Math"/>
          </w:rPr>
          <m:t xml:space="preserve">y</m:t>
        </m:r>
      </m:oMath>
      <w:r>
        <w:rPr/>
        <w:t xml:space="preserve"> and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n</m:t>
            </m:r>
          </m:sub>
        </m:sSub>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oMath>
      <w:r>
        <w:rPr/>
        <w:t xml:space="preserve"> are the time spent in the state during the day and night respectively. </w:t>
      </w:r>
      <w:r>
        <w:rPr/>
      </w:r>
      <m:oMath xmlns:m="http://schemas.openxmlformats.org/officeDocument/2006/math">
        <m:sSub>
          <m:e>
            <m:r>
              <w:rPr>
                <w:rFonts w:ascii="Cambria Math" w:hAnsi="Cambria Math"/>
              </w:rPr>
              <m:t xml:space="preserve">D</m:t>
            </m:r>
          </m:e>
          <m:sub>
            <m:r>
              <w:rPr>
                <w:rFonts w:ascii="Cambria Math" w:hAnsi="Cambria Math"/>
              </w:rPr>
              <m:t xml:space="preserve">L</m:t>
            </m:r>
          </m:sub>
        </m:sSub>
      </m:oMath>
      <w:r>
        <w:rPr/>
        <w:t xml:space="preserve"> and </w:t>
      </w:r>
      <w:r>
        <w:rPr/>
      </w:r>
      <m:oMath xmlns:m="http://schemas.openxmlformats.org/officeDocument/2006/math">
        <m:sSub>
          <m:e>
            <m:r>
              <w:rPr>
                <w:rFonts w:ascii="Cambria Math" w:hAnsi="Cambria Math"/>
              </w:rPr>
              <m:t xml:space="preserve">N</m:t>
            </m:r>
          </m:e>
          <m:sub>
            <m:r>
              <w:rPr>
                <w:rFonts w:ascii="Cambria Math" w:hAnsi="Cambria Math"/>
              </w:rPr>
              <m:t xml:space="preserve">L</m:t>
            </m:r>
          </m:sub>
        </m:sSub>
      </m:oMath>
      <w:r>
        <w:rPr/>
        <w:t xml:space="preserve"> are the daylength and night-length, determined by the civil twilight.</w:t>
      </w:r>
    </w:p>
    <w:p>
      <w:pPr>
        <w:pStyle w:val="TextBody"/>
        <w:jc w:val="center"/>
        <w:rPr/>
      </w:pPr>
      <w:r>
        <w:rPr/>
      </w:r>
      <m:oMathPara xmlns:m="http://schemas.openxmlformats.org/officeDocument/2006/math">
        <m:oMathParaPr>
          <m:jc m:val="center"/>
        </m:oMathParaPr>
        <m:oMath>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r</m:t>
          </m:r>
          <m:r>
            <w:rPr>
              <w:rFonts w:ascii="Cambria Math" w:hAnsi="Cambria Math"/>
            </w:rPr>
            <m:t xml:space="preserve">n</m:t>
          </m:r>
          <m:r>
            <w:rPr>
              <w:rFonts w:ascii="Cambria Math" w:hAnsi="Cambria Math"/>
            </w:rPr>
            <m:t xml:space="preserve">a</m:t>
          </m:r>
          <m:r>
            <w:rPr>
              <w:rFonts w:ascii="Cambria Math" w:hAnsi="Cambria Math"/>
            </w:rPr>
            <m:t xml:space="preserve">l</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f>
            <m:num>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num>
                <m:den>
                  <m:sSub>
                    <m:e>
                      <m:r>
                        <w:rPr>
                          <w:rFonts w:ascii="Cambria Math" w:hAnsi="Cambria Math"/>
                        </w:rPr>
                        <m:t xml:space="preserve">D</m:t>
                      </m:r>
                    </m:e>
                    <m:sub>
                      <m:r>
                        <w:rPr>
                          <w:rFonts w:ascii="Cambria Math" w:hAnsi="Cambria Math"/>
                        </w:rPr>
                        <m:t xml:space="preserve">L</m:t>
                      </m:r>
                    </m:sub>
                  </m:sSub>
                </m:den>
              </m:f>
            </m:num>
            <m:den>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num>
                <m:den>
                  <m:sSub>
                    <m:e>
                      <m:r>
                        <w:rPr>
                          <w:rFonts w:ascii="Cambria Math" w:hAnsi="Cambria Math"/>
                        </w:rPr>
                        <m:t xml:space="preserve">D</m:t>
                      </m:r>
                    </m:e>
                    <m:sub>
                      <m:r>
                        <w:rPr>
                          <w:rFonts w:ascii="Cambria Math" w:hAnsi="Cambria Math"/>
                        </w:rPr>
                        <m:t xml:space="preserve">L</m:t>
                      </m:r>
                    </m:sub>
                  </m:sSub>
                </m:den>
              </m:f>
              <m:r>
                <w:rPr>
                  <w:rFonts w:ascii="Cambria Math" w:hAnsi="Cambria Math"/>
                </w:rPr>
                <m:t xml:space="preserve">+</m:t>
              </m:r>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num>
                <m:den>
                  <m:sSub>
                    <m:e>
                      <m:r>
                        <w:rPr>
                          <w:rFonts w:ascii="Cambria Math" w:hAnsi="Cambria Math"/>
                        </w:rPr>
                        <m:t xml:space="preserve">N</m:t>
                      </m:r>
                    </m:e>
                    <m:sub>
                      <m:r>
                        <w:rPr>
                          <w:rFonts w:ascii="Cambria Math" w:hAnsi="Cambria Math"/>
                        </w:rPr>
                        <m:t xml:space="preserve">L</m:t>
                      </m:r>
                    </m:sub>
                  </m:sSub>
                </m:den>
              </m:f>
            </m:den>
          </m:f>
        </m:oMath>
      </m:oMathPara>
      <w:bookmarkStart w:id="8" w:name="diurnality-index"/>
      <w:bookmarkEnd w:id="8"/>
    </w:p>
    <w:p>
      <w:pPr>
        <w:pStyle w:val="Heading3"/>
        <w:rPr/>
      </w:pPr>
      <w:r>
        <w:rPr/>
        <w:t>1.2.9</w:t>
        <w:tab/>
        <w:t>Circadian Rhythmicity and Period Estimation</w:t>
      </w:r>
    </w:p>
    <w:p>
      <w:pPr>
        <w:pStyle w:val="FirstParagraph"/>
        <w:rPr/>
      </w:pPr>
      <w:r>
        <w:rPr/>
        <w:t>We used autocorrelation analysis (</w:t>
      </w:r>
      <w:hyperlink w:anchor="ref-levine2002">
        <w:r>
          <w:rPr>
            <w:rStyle w:val="InternetLink"/>
          </w:rPr>
          <w:t>Levine et al. 2002</w:t>
        </w:r>
      </w:hyperlink>
      <w:r>
        <w:rPr/>
        <w:t xml:space="preserve">; </w:t>
      </w:r>
      <w:hyperlink w:anchor="ref-dowse2009">
        <w:r>
          <w:rPr>
            <w:rStyle w:val="InternetLink"/>
          </w:rPr>
          <w:t>Dowse 2009</w:t>
        </w:r>
      </w:hyperlink>
      <w:r>
        <w:rPr/>
        <w:t>) and Lomb-Scargle periodograms to asses the strength and periodicity of activity rhythms. The autocorellation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 (</w:t>
      </w:r>
      <w:hyperlink w:anchor="ref-dowse2009">
        <w:r>
          <w:rPr>
            <w:rStyle w:val="InternetLink"/>
          </w:rPr>
          <w:t>Dowse 2009</w:t>
        </w:r>
      </w:hyperlink>
      <w:r>
        <w:rPr/>
        <w:t>). The robustness of the rhythm, also referred as the Rhythmicity Index (RI), is defined as the autocorrelation coefficient at the third peak of the autocorrelation plot (i.e. the height of the third peak).</w:t>
      </w:r>
    </w:p>
    <w:p>
      <w:pPr>
        <w:pStyle w:val="TextBody"/>
        <w:rPr/>
      </w:pPr>
      <w:r>
        <w:rPr/>
        <w:t>We calculated the RI for the for the medium and high state-labelled data. For comparison we also calculated the RI for the unlabelled VeDBA data.</w:t>
      </w:r>
    </w:p>
    <w:p>
      <w:pPr>
        <w:pStyle w:val="TextBody"/>
        <w:rPr/>
      </w:pPr>
      <w:r>
        <w:rPr/>
        <w:t>Before estimating the RI, we applied a 3-hour low-pass Butterworth filter to remove periodicity lower than 3 hour in the data. Autocorrelation plots were first visually analysed. Plots that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 (</w:t>
      </w:r>
      <w:hyperlink w:anchor="ref-leise2017">
        <w:r>
          <w:rPr>
            <w:rStyle w:val="InternetLink"/>
          </w:rPr>
          <w:t>Leise 2017</w:t>
        </w:r>
      </w:hyperlink>
      <w:r>
        <w:rPr/>
        <w:t>).</w:t>
      </w:r>
    </w:p>
    <w:p>
      <w:pPr>
        <w:pStyle w:val="TextBody"/>
        <w:rPr/>
      </w:pPr>
      <w:r>
        <w:rPr/>
        <w:t>All analysis were done in R (</w:t>
      </w:r>
      <w:hyperlink w:anchor="ref-rcoreteam2020">
        <w:r>
          <w:rPr>
            <w:rStyle w:val="InternetLink"/>
          </w:rPr>
          <w:t>R Core Team 2020</w:t>
        </w:r>
      </w:hyperlink>
      <w:r>
        <w:rPr/>
        <w:t xml:space="preserve">). Butterworth filtering was done using the the </w:t>
      </w:r>
      <w:r>
        <w:rPr>
          <w:i/>
          <w:iCs/>
        </w:rPr>
        <w:t>dlpR</w:t>
      </w:r>
      <w:r>
        <w:rPr/>
        <w:t xml:space="preserve"> package (</w:t>
      </w:r>
      <w:hyperlink w:anchor="ref-bunn2008">
        <w:r>
          <w:rPr>
            <w:rStyle w:val="InternetLink"/>
          </w:rPr>
          <w:t>Bunn 2008</w:t>
        </w:r>
      </w:hyperlink>
      <w:r>
        <w:rPr/>
        <w:t xml:space="preserve">). Autocorrelation function and plots were done in base R. The peaks in the autocorrelation plots were found using the </w:t>
      </w:r>
      <w:r>
        <w:rPr>
          <w:i/>
          <w:iCs/>
        </w:rPr>
        <w:t>pracma</w:t>
      </w:r>
      <w:r>
        <w:rPr/>
        <w:t xml:space="preserve"> package (</w:t>
      </w:r>
      <w:hyperlink w:anchor="ref-hansw.borchers2019">
        <w:r>
          <w:rPr>
            <w:rStyle w:val="InternetLink"/>
          </w:rPr>
          <w:t>Hans W. Borchers 2019</w:t>
        </w:r>
      </w:hyperlink>
      <w:r>
        <w:rPr/>
        <w:t xml:space="preserve">). Lomb-Scargle periodograms were calculated using the </w:t>
      </w:r>
      <w:r>
        <w:rPr>
          <w:i/>
          <w:iCs/>
        </w:rPr>
        <w:t>lomb</w:t>
      </w:r>
      <w:r>
        <w:rPr/>
        <w:t xml:space="preserve"> package (</w:t>
      </w:r>
      <w:hyperlink w:anchor="ref-ruf1999">
        <w:r>
          <w:rPr>
            <w:rStyle w:val="InternetLink"/>
          </w:rPr>
          <w:t>Ruf 1999</w:t>
        </w:r>
      </w:hyperlink>
      <w:r>
        <w:rPr/>
        <w:t>).</w:t>
      </w:r>
      <w:bookmarkStart w:id="9" w:name="X8bda55b0a4c18ba520623e5621099ffce169511"/>
      <w:bookmarkEnd w:id="9"/>
    </w:p>
    <w:p>
      <w:pPr>
        <w:pStyle w:val="Heading3"/>
        <w:rPr/>
      </w:pPr>
      <w:r>
        <w:rPr/>
        <w:t>1.2.10</w:t>
        <w:tab/>
        <w:t>Statistical Analysis</w:t>
      </w:r>
    </w:p>
    <w:p>
      <w:pPr>
        <w:pStyle w:val="FirstParagraph"/>
        <w:rPr/>
      </w:pPr>
      <w:r>
        <w:rPr/>
        <w:t>All analysis were done in R using the base packages (</w:t>
      </w:r>
      <w:hyperlink w:anchor="ref-rcoreteam2020">
        <w:r>
          <w:rPr>
            <w:rStyle w:val="InternetLink"/>
          </w:rPr>
          <w:t>R Core Team 2020</w:t>
        </w:r>
      </w:hyperlink>
      <w:r>
        <w:rPr/>
        <w:t>). We tested for seasonal differences in mean daily VeDBA, time spent in each state and diurnality using ANOVA followed by post-hoc Tukey-Kramer’s test. Daily Activity patterns were visualized using Gaussian kernel density estimates.</w:t>
      </w:r>
    </w:p>
    <w:p>
      <w:pPr>
        <w:pStyle w:val="TextBody"/>
        <w:rPr/>
      </w:pPr>
      <w:r>
        <w:rPr/>
        <w:t>The percentage of animals classified as Rhythmic and the values for RI were compared between states only, no seasonal analysis was done for these data. Given that some animals were classified as arrhythmic the sample number for each season was too low to perform any meaningful statistical analysis.</w:t>
      </w:r>
    </w:p>
    <w:p>
      <w:pPr>
        <w:pStyle w:val="Normal"/>
        <w:rPr/>
      </w:pPr>
      <w:r>
        <w:rPr/>
      </w:r>
      <w:bookmarkStart w:id="10" w:name="methods"/>
      <w:bookmarkStart w:id="11" w:name="statistical-analysis"/>
      <w:bookmarkStart w:id="12" w:name="methods"/>
      <w:bookmarkStart w:id="13" w:name="statistical-analysis"/>
      <w:bookmarkEnd w:id="12"/>
      <w:bookmarkEnd w:id="13"/>
      <w:r>
        <w:br w:type="page"/>
      </w:r>
    </w:p>
    <w:p>
      <w:pPr>
        <w:pStyle w:val="Heading2"/>
        <w:numPr>
          <w:ilvl w:val="0"/>
          <w:numId w:val="2"/>
        </w:numPr>
        <w:rPr/>
      </w:pPr>
      <w:r>
        <w:rPr/>
        <w:t>1.3</w:t>
        <w:tab/>
        <w:t>Results</w:t>
      </w:r>
    </w:p>
    <w:p>
      <w:pPr>
        <w:pStyle w:val="Compact"/>
        <w:numPr>
          <w:ilvl w:val="0"/>
          <w:numId w:val="17"/>
        </w:numPr>
        <w:rPr/>
      </w:pPr>
      <w:r>
        <w:rPr/>
        <w:t>Ao adicionar numero de animais tbm comentar da dificuldade em recapturar e em alguns casos capturar machos! Legal para futuras referencias. (Talvez nos resultados?)</w:t>
      </w:r>
    </w:p>
    <w:p>
      <w:pPr>
        <w:pStyle w:val="FirstParagraph"/>
        <w:rPr/>
      </w:pPr>
      <w:r>
        <w:rPr/>
        <w:t>During 2019-2020, we captured 30 tuco-tucos, 20 females and 10 males. Each tuco-tuco received a biologging collar, mostly containing an accelerometer and a lightlogger. We were able to recapture 24 tuco-tucos and recover 21 collars (Table ??). One collar was foung malfunctioning because one animal got predated. The other two lost collars fell or were taken out of the tuco’s neck between the time of capture and recapture. All 21 animals that were recapture received a collar containing an accelerometer. However, only 13 also received a lightlogger (Table ??). In total, we have 13 complete datasets, with acceleration and light exposure data, and 8 datasets with acceleration only.</w:t>
      </w:r>
    </w:p>
    <w:p>
      <w:pPr>
        <w:pStyle w:val="Heading3"/>
        <w:rPr/>
      </w:pPr>
      <w:r>
        <w:rPr/>
        <w:t>1.3.1</w:t>
        <w:tab/>
        <w:t>Daily Activity Levels</w:t>
      </w:r>
    </w:p>
    <w:p>
      <w:pPr>
        <w:pStyle w:val="FirstParagraph"/>
        <w:rPr/>
      </w:pPr>
      <w:r>
        <w:rPr/>
        <w:t>Tuco-tuco’s daily activity levels (24-hour average), measured by VeDBA, are significantly different across the year (ANOVA; F = 7.182, p &lt; 0.01; Fig. 1.4). Post hoc comparisons using Tukey-Kramer’s Test shows significant group differences between July-October and July-February (p &lt; 0.05). In both pairwise comparisons daily VeDBA levels in July are lower, showing a difference in means of 0.029 g and 0.019 g in comparison to October and February, respectively. In sum, daily VeDBA activity levels are lower in July in comparison to October and February (Fig 1.4).</w:t>
      </w:r>
    </w:p>
    <w:p>
      <w:pPr>
        <w:pStyle w:val="TextBody"/>
        <w:rPr/>
      </w:pPr>
      <w:r>
        <w:rPr/>
        <w:t>The daytime VeDBA (Light Phase Average) is also significantly different between Months (ANOVA; F = 7.282, p &lt; 0.001). Post hoc comparisons using Tukey-Kramer’s Test shows a difference in mean of 0.035 between October-July (p &lt; 0.05). However, daytime activity levels are only significantly different between July and October. (</w:t>
      </w:r>
      <w:r>
        <w:rPr>
          <w:i/>
          <w:iCs/>
        </w:rPr>
        <w:t>REF ———— Tirar?</w:t>
      </w:r>
      <w:r>
        <w:rPr/>
        <w:t>)</w:t>
      </w:r>
    </w:p>
    <w:p>
      <w:pPr>
        <w:pStyle w:val="CaptionedFigure"/>
        <w:rPr/>
      </w:pPr>
      <w:r>
        <w:rPr/>
        <w:drawing>
          <wp:inline distT="0" distB="0" distL="114935" distR="114935">
            <wp:extent cx="5943600" cy="2377440"/>
            <wp:effectExtent l="0" t="0" r="0" b="0"/>
            <wp:docPr id="4" name="Image3" descr="Figure 1.4: Tuco-tuco’s Daily VeDBA levels. (A) VeDBA was binned by hour (0-23). Background lines show data for individual animals. Thick lines show mean hourly VeDBA. (B) Points show daily (24h) VeDBA mean for each animal. In July Tuco-tuco’s exhibited lower Daily VeDBA than October and February. Dashed lines in Panel A shows time of civil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1.4: Tuco-tuco’s Daily VeDBA levels. (A) VeDBA was binned by hour (0-23). Background lines show data for individual animals. Thick lines show mean hourly VeDBA. (B) Points show daily (24h) VeDBA mean for each animal. In July Tuco-tuco’s exhibited lower Daily VeDBA than October and February. Dashed lines in Panel A shows time of civil dawn and dusk."/>
                    <pic:cNvPicPr>
                      <a:picLocks noChangeAspect="1" noChangeArrowheads="1"/>
                    </pic:cNvPicPr>
                  </pic:nvPicPr>
                  <pic:blipFill>
                    <a:blip r:embed="rId6"/>
                    <a:stretch>
                      <a:fillRect/>
                    </a:stretch>
                  </pic:blipFill>
                  <pic:spPr bwMode="auto">
                    <a:xfrm>
                      <a:off x="0" y="0"/>
                      <a:ext cx="5943600" cy="2377440"/>
                    </a:xfrm>
                    <a:prstGeom prst="rect">
                      <a:avLst/>
                    </a:prstGeom>
                  </pic:spPr>
                </pic:pic>
              </a:graphicData>
            </a:graphic>
          </wp:inline>
        </w:drawing>
      </w:r>
    </w:p>
    <w:p>
      <w:pPr>
        <w:pStyle w:val="ImageCaption"/>
        <w:rPr/>
      </w:pPr>
      <w:r>
        <w:rPr/>
        <w:t>Figure 1.4: Tuco-tuco’s Daily VeDBA levels. (A) VeDBA was binned by hour (0-23). Background lines show data for individual animals. Thick lines show mean hourly VeDBA. (B) Points show daily (24h) VeDBA mean for each animal. In July Tuco-tuco’s exhibited lower Daily VeDBA than October and February. Dashed lines in Panel A shows time of civil dawn and dusk.</w:t>
      </w:r>
      <w:bookmarkStart w:id="14" w:name="daily-activity-levels"/>
      <w:bookmarkEnd w:id="14"/>
    </w:p>
    <w:p>
      <w:pPr>
        <w:pStyle w:val="Heading3"/>
        <w:rPr/>
      </w:pPr>
      <w:r>
        <w:rPr/>
        <w:t>1.3.2</w:t>
        <w:tab/>
        <w:t>Activity State Classification</w:t>
      </w:r>
    </w:p>
    <w:p>
      <w:pPr>
        <w:pStyle w:val="FirstParagraph"/>
        <w:rPr/>
      </w:pPr>
      <w:r>
        <w:rPr/>
        <w:t xml:space="preserve">We modeled and classified VeDBA into three distinct behavioral states using Hidden Markov Models (HMMs). We fitted two different models, one empty model, with no covariates, and a second one with </w:t>
      </w:r>
      <w:r>
        <w:rPr>
          <w:i/>
          <w:iCs/>
        </w:rPr>
        <w:t>‘season’</w:t>
      </w:r>
      <w:r>
        <w:rPr/>
        <w:t xml:space="preserve"> as a covariate in the transition probability matrix. The second model was selected based on informational criterion (</w:t>
      </w:r>
      <w:r>
        <w:rPr/>
      </w:r>
      <m:oMath xmlns:m="http://schemas.openxmlformats.org/officeDocument/2006/math">
        <m:r>
          <w:rPr>
            <w:rFonts w:ascii="Cambria Math" w:hAnsi="Cambria Math"/>
          </w:rPr>
          <m:t xml:space="preserve">Δ</m:t>
        </m:r>
      </m:oMath>
      <w:r>
        <w:rPr/>
        <w:t>AIC &gt; 2; REF Tabela AIC nos supps).</w:t>
      </w:r>
    </w:p>
    <w:p>
      <w:pPr>
        <w:pStyle w:val="TextBody"/>
        <w:rPr/>
      </w:pPr>
      <w:r>
        <w:rPr/>
        <w:t>The estimated state-dependent distributions are shown in Figure 1.5. We interpreted and labelled these states as ‘Rest,’ ‘Medium intensity activity,’ and ‘High intensity activity’ corresponding to low, intermediate and high VeDBA values respectively. The marginal distribution (Fig. 1.5; dashed line) has a good correspondence to the empirical VeDBA distribution. A visual analysis of the Pseudo-residuals (Fig. ??) show that the residuals deviates from the expected normal distribution, especially in the lower end values, and that there is still significant residual autocorrelation. Nevertheless, the overall fitting seems to be reasonable. The estimated state-dependent parameters are shown in the Appendix (Table ??).</w:t>
      </w:r>
    </w:p>
    <w:p>
      <w:pPr>
        <w:pStyle w:val="CaptionedFigure"/>
        <w:rPr/>
      </w:pPr>
      <w:r>
        <w:rPr/>
        <w:drawing>
          <wp:inline distT="0" distB="0" distL="114935" distR="114935">
            <wp:extent cx="5943600" cy="3562985"/>
            <wp:effectExtent l="0" t="0" r="0" b="0"/>
            <wp:docPr id="5" name="Image4" descr="Figure 1.5: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1.5: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7"/>
                    <a:stretch>
                      <a:fillRect/>
                    </a:stretch>
                  </pic:blipFill>
                  <pic:spPr bwMode="auto">
                    <a:xfrm>
                      <a:off x="0" y="0"/>
                      <a:ext cx="5943600" cy="3562985"/>
                    </a:xfrm>
                    <a:prstGeom prst="rect">
                      <a:avLst/>
                    </a:prstGeom>
                  </pic:spPr>
                </pic:pic>
              </a:graphicData>
            </a:graphic>
          </wp:inline>
        </w:drawing>
      </w:r>
    </w:p>
    <w:p>
      <w:pPr>
        <w:pStyle w:val="ImageCaption"/>
        <w:rPr/>
      </w:pPr>
      <w:r>
        <w:rPr/>
        <w:t>Figure 1.5: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rPr/>
      </w:pPr>
      <w:r>
        <w:rPr/>
        <w:t>We labelled VeDBA data using the Viterbi algorithm (</w:t>
      </w:r>
      <w:hyperlink w:anchor="ref-zucchini2016">
        <w:r>
          <w:rPr>
            <w:rStyle w:val="InternetLink"/>
          </w:rPr>
          <w:t>Zucchini, Iain MacDonald, and Roland Langrock 2016</w:t>
        </w:r>
      </w:hyperlink>
      <w:r>
        <w:rPr/>
        <w:t>). With the state-labeled data we were able to dissociate and visualize the daily patterns of each different state. Actograms and time series plot shows how the different states are related to the calculated VeDBA (Fig. 1.6). Visual analysis of diel rhythms in VeDBA and in the state-labelled data indicates the daily rhythm is more robust in the High Activity state in comparison to Medium Activity.</w:t>
      </w:r>
    </w:p>
    <w:p>
      <w:pPr>
        <w:pStyle w:val="TextBody"/>
        <w:rPr/>
      </w:pPr>
      <w:r>
        <w:rPr/>
        <w:t>However, despite being more concentrated during the daylight hours, High Activity episodes also occur sporadically during the night. Medium Activity, in turn, seems to be more disperse throughout the day with no clear daily rhythm. Individual Actograms for VeDBA and state-labelled data are presented in the Appendix (Figure ??).</w:t>
      </w:r>
    </w:p>
    <w:p>
      <w:pPr>
        <w:pStyle w:val="CaptionedFigure"/>
        <w:rPr/>
      </w:pPr>
      <w:r>
        <w:rPr/>
        <w:drawing>
          <wp:inline distT="0" distB="0" distL="114935" distR="114935">
            <wp:extent cx="5943600" cy="2969895"/>
            <wp:effectExtent l="0" t="0" r="0" b="0"/>
            <wp:docPr id="6" name="Image5" descr="Figure 1.6: Actograms and Time Series Plot of VeDBA and state-labelled data of a representative animal (ID:OCT09). The actograms shows daily patterns of VeDBA (A) and of Medium and High State occurrences (B and C). Medium Activity State shows no clear pattern of a daily rhythm. High Activity is disperse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1.6: Actograms and Time Series Plot of VeDBA and state-labelled data of a representative animal (ID:OCT09). The actograms shows daily patterns of VeDBA (A) and of Medium and High State occurrences (B and C). Medium Activity State shows no clear pattern of a daily rhythm. High Activity is disperse throughout the day with a higher concentration during daylight hours. The time series (D) shows state-labelled VeDBA data. Dashed lines shows time of dawn and dusk."/>
                    <pic:cNvPicPr>
                      <a:picLocks noChangeAspect="1" noChangeArrowheads="1"/>
                    </pic:cNvPicPr>
                  </pic:nvPicPr>
                  <pic:blipFill>
                    <a:blip r:embed="rId8"/>
                    <a:stretch>
                      <a:fillRect/>
                    </a:stretch>
                  </pic:blipFill>
                  <pic:spPr bwMode="auto">
                    <a:xfrm>
                      <a:off x="0" y="0"/>
                      <a:ext cx="5943600" cy="2969895"/>
                    </a:xfrm>
                    <a:prstGeom prst="rect">
                      <a:avLst/>
                    </a:prstGeom>
                  </pic:spPr>
                </pic:pic>
              </a:graphicData>
            </a:graphic>
          </wp:inline>
        </w:drawing>
      </w:r>
    </w:p>
    <w:p>
      <w:pPr>
        <w:pStyle w:val="ImageCaption"/>
        <w:rPr/>
      </w:pPr>
      <w:r>
        <w:rPr/>
        <w:t>Figure 1.6: Actograms and Time Series Plot of VeDBA and state-labelled data of a representative animal (ID:OCT09). The actograms shows daily patterns of VeDBA (A) and of Medium and High State occurrences (B and C). Medium Activity State shows no clear pattern of a daily rhythm. High Activity is disperse throughout the day with a higher concentration during daylight hours. The time series (D) shows state-labelled VeDBA data. Dashed lines shows time of dawn and dusk.</w:t>
      </w:r>
      <w:bookmarkStart w:id="15" w:name="activity-state-classification"/>
      <w:bookmarkEnd w:id="15"/>
    </w:p>
    <w:p>
      <w:pPr>
        <w:pStyle w:val="Heading3"/>
        <w:rPr/>
      </w:pPr>
      <w:r>
        <w:rPr/>
        <w:t>1.3.3</w:t>
        <w:tab/>
        <w:t>Daily Activity Patterns</w:t>
      </w:r>
    </w:p>
    <w:p>
      <w:pPr>
        <w:pStyle w:val="FirstParagraph"/>
        <w:rPr/>
      </w:pPr>
      <w:r>
        <w:rPr/>
        <w:t>Daily activity rhythms for each behavioral state are shown in Figure 1.7.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seems to be around 14:00. In turn, Light Exposure patterns changes along the year. In July, the peak of episodes of light exposure is more concentrated in the middle of the day. In other seasons the peak of Light Exposure episodes appears to be bimodal, with a higher peak in the first hours of daylight and a much smaller peak at the end of daylight.</w:t>
      </w:r>
    </w:p>
    <w:p>
      <w:pPr>
        <w:pStyle w:val="Compact"/>
        <w:numPr>
          <w:ilvl w:val="0"/>
          <w:numId w:val="18"/>
        </w:numPr>
        <w:rPr/>
      </w:pPr>
      <w:r>
        <w:rPr/>
        <w:t>REF calculate peak</w:t>
      </w:r>
    </w:p>
    <w:p>
      <w:pPr>
        <w:pStyle w:val="Compact"/>
        <w:numPr>
          <w:ilvl w:val="0"/>
          <w:numId w:val="19"/>
        </w:numPr>
        <w:rPr/>
      </w:pPr>
      <w:r>
        <w:rPr/>
        <w:t>REF adicionar linha do meio dia solar</w:t>
      </w:r>
    </w:p>
    <w:p>
      <w:pPr>
        <w:pStyle w:val="CaptionedFigure"/>
        <w:jc w:val="center"/>
        <w:rPr/>
      </w:pPr>
      <w:r>
        <w:rPr/>
        <w:drawing>
          <wp:inline distT="0" distB="0" distL="114935" distR="114935">
            <wp:extent cx="4444365" cy="7406640"/>
            <wp:effectExtent l="0" t="0" r="0" b="0"/>
            <wp:docPr id="7" name="Image6" descr="Figure 1.7: Density estimate of daily activity patterns of tuco-tucos’ behavioral states. Solid lines indicate the Gaussian kernel density estimates. Light-colored bars show observed distribution of each behavioral state occurrence. Rug lines above the x-axis shows individual occurrences. Dotted vertical lines show time of civil twilights. (A) High Activity State shows a diurnal pattern independent of the time of the year. (B) Medium Activity State shows no daily pattern. (C) Light Exposure shows a diurnal rhythm that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1.7: Density estimate of daily activity patterns of tuco-tucos’ behavioral states. Solid lines indicate the Gaussian kernel density estimates. Light-colored bars show observed distribution of each behavioral state occurrence. Rug lines above the x-axis shows individual occurrences. Dotted vertical lines show time of civil twilights. (A) High Activity State shows a diurnal pattern independent of the time of the year. (B) Medium Activity State shows no daily pattern. (C) Light Exposure shows a diurnal rhythm that changes according to the season."/>
                    <pic:cNvPicPr>
                      <a:picLocks noChangeAspect="1" noChangeArrowheads="1"/>
                    </pic:cNvPicPr>
                  </pic:nvPicPr>
                  <pic:blipFill>
                    <a:blip r:embed="rId9"/>
                    <a:stretch>
                      <a:fillRect/>
                    </a:stretch>
                  </pic:blipFill>
                  <pic:spPr bwMode="auto">
                    <a:xfrm>
                      <a:off x="0" y="0"/>
                      <a:ext cx="4444365" cy="7406640"/>
                    </a:xfrm>
                    <a:prstGeom prst="rect">
                      <a:avLst/>
                    </a:prstGeom>
                  </pic:spPr>
                </pic:pic>
              </a:graphicData>
            </a:graphic>
          </wp:inline>
        </w:drawing>
      </w:r>
    </w:p>
    <w:p>
      <w:pPr>
        <w:pStyle w:val="ImageCaption"/>
        <w:rPr/>
      </w:pPr>
      <w:r>
        <w:rPr/>
        <w:t>Figure 1.7: Density estimate of daily activity patterns of tuco-tucos’ behavioral states. Solid lines indicate the Gaussian kernel density estimates. Light-colored bars show observed distribution of each behavioral state occurrence. Rug lines above the x-axis shows individual occurrences. Dotted vertical lines show time of civil twilights. (A) High Activity State shows a diurnal pattern independent of the time of the year. (B) Medium Activity State shows no daily pattern. (C) Light Exposure shows a diurnal rhythm that changes according to the season.</w:t>
      </w:r>
    </w:p>
    <w:p>
      <w:pPr>
        <w:pStyle w:val="Normal"/>
        <w:rPr/>
      </w:pPr>
      <w:r>
        <w:rPr/>
      </w:r>
      <w:bookmarkStart w:id="16" w:name="daily-activity-patterns"/>
      <w:bookmarkStart w:id="17" w:name="daily-activity-patterns"/>
      <w:bookmarkEnd w:id="17"/>
      <w:r>
        <w:br w:type="page"/>
      </w:r>
    </w:p>
    <w:p>
      <w:pPr>
        <w:pStyle w:val="Heading3"/>
        <w:rPr/>
      </w:pPr>
      <w:r>
        <w:rPr/>
        <w:t>1.3.4</w:t>
        <w:tab/>
        <w:t>Daily Time-Activity Budgets</w:t>
      </w:r>
    </w:p>
    <w:p>
      <w:pPr>
        <w:pStyle w:val="FirstParagraph"/>
        <w:rPr/>
      </w:pPr>
      <w:r>
        <w:rPr/>
        <w:t>On average tuco-tucos spent between 45-50% of the 24 hours in the Rest state, depending on the month. ANOVA test shows no statistical difference between the percentage of time spent resting between seasons (ANOVA; F = 1.93, p = 0.163). The remaining time is spent in an active state, either Medium or High Activity State (Table ??)</w:t>
      </w:r>
    </w:p>
    <w:p>
      <w:pPr>
        <w:pStyle w:val="TextBody"/>
        <w:rPr/>
      </w:pPr>
      <w:r>
        <w:rPr/>
        <w:t>Tuco-tucos spent a variable percentage of their daily active time in one of the two active states, High or Medium, across seasons. Daily time spent in High Activity was lower in July (15.8%) and higher in October (29.4%; ??). In contrast, daily time spent in a Medium Activity State was higher in July (34.1%) and lower in October (24.8%). There is a significant difference in the percentage of time spent in Medium (Fig. 1.8; ANOVA: F = 4.457, p = 0.0175) and High Activity State across seasons (Fig. 1.8;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 1.8).</w:t>
      </w:r>
    </w:p>
    <w:p>
      <w:pPr>
        <w:pStyle w:val="CaptionedFigure"/>
        <w:rPr/>
      </w:pPr>
      <w:r>
        <w:rPr/>
        <w:drawing>
          <wp:inline distT="0" distB="0" distL="114935" distR="114935">
            <wp:extent cx="5943600" cy="5943600"/>
            <wp:effectExtent l="0" t="0" r="0" b="0"/>
            <wp:docPr id="8" name="Image7" descr="Figure 1.8: Daily time-activty budgets for the behavioral states. (A) Percentage of time spent in each behavioral state per animal. (B) Distribution of the mean percentage of time spent in each behavioral state calculated by animal. The mean pe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1.8: Daily time-activty budgets for the behavioral states. (A) Percentage of time spent in each behavioral state per animal. (B) Distribution of the mean percentage of time spent in each behavioral state calculated by animal. The mean pe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10"/>
                    <a:stretch>
                      <a:fillRect/>
                    </a:stretch>
                  </pic:blipFill>
                  <pic:spPr bwMode="auto">
                    <a:xfrm>
                      <a:off x="0" y="0"/>
                      <a:ext cx="5943600" cy="5943600"/>
                    </a:xfrm>
                    <a:prstGeom prst="rect">
                      <a:avLst/>
                    </a:prstGeom>
                  </pic:spPr>
                </pic:pic>
              </a:graphicData>
            </a:graphic>
          </wp:inline>
        </w:drawing>
      </w:r>
    </w:p>
    <w:p>
      <w:pPr>
        <w:pStyle w:val="ImageCaption"/>
        <w:rPr/>
      </w:pPr>
      <w:r>
        <w:rPr/>
        <w:t>Figure 1.8: Daily time-activty budgets for the behavioral states. (A) Percentage of time spent in each behavioral state per animal. (B) Distribution of the mean percentage of time spent in each behavioral state calculated by animal. The mean pecentage of time spent in the High Activity State is lower in July in comparison to October and February. The mean percentage of time spent in the Medium Activity State, however, is higher in July in comparison with October.</w:t>
      </w:r>
    </w:p>
    <w:p>
      <w:pPr>
        <w:pStyle w:val="Normal"/>
        <w:rPr/>
      </w:pPr>
      <w:r>
        <w:rPr/>
      </w:r>
      <w:bookmarkStart w:id="18" w:name="daily-time-activity-budgets"/>
      <w:bookmarkStart w:id="19" w:name="daily-time-activity-budgets"/>
      <w:bookmarkEnd w:id="19"/>
      <w:r>
        <w:br w:type="page"/>
      </w:r>
    </w:p>
    <w:p>
      <w:pPr>
        <w:pStyle w:val="Heading3"/>
        <w:rPr/>
      </w:pPr>
      <w:r>
        <w:rPr/>
        <w:t>1.3.5</w:t>
        <w:tab/>
        <w:t>Diurnality</w:t>
      </w:r>
    </w:p>
    <w:p>
      <w:pPr>
        <w:pStyle w:val="Compact"/>
        <w:numPr>
          <w:ilvl w:val="0"/>
          <w:numId w:val="20"/>
        </w:numPr>
        <w:rPr/>
      </w:pPr>
      <w:r>
        <w:rPr/>
        <w:t>REF calcular diunalidade para o VeDBA tbm</w:t>
      </w:r>
    </w:p>
    <w:p>
      <w:pPr>
        <w:pStyle w:val="FirstParagraph"/>
        <w:rPr/>
      </w:pPr>
      <w:r>
        <w:rPr/>
        <w:t>High Activity State is predominately diurnal. The average diurnality for the High Activity State is higher than 70% for all seasons (Table ??). The Medium Activity State, however, has a diurnality index that ranges from 50% in March to 56% in July and February (Table ??). The Rest State is predominantly nocturnal with Diurnality lower than 38% for all season, which is in accordance with the results from the High Activity State. There is no statistical difference between seasons (ANOVA; p &gt; 0.2 for all states; Figure 1.9.</w:t>
      </w:r>
    </w:p>
    <w:p>
      <w:pPr>
        <w:pStyle w:val="CaptionedFigure"/>
        <w:rPr/>
      </w:pPr>
      <w:r>
        <w:rPr/>
        <w:drawing>
          <wp:inline distT="0" distB="0" distL="114935" distR="114935">
            <wp:extent cx="5943600" cy="2373630"/>
            <wp:effectExtent l="0" t="0" r="0" b="0"/>
            <wp:docPr id="9" name="Image8" descr="Figure 1.9: Distribution of each state’s diurnality index. Only the High Activity State is predominantly diurnal. High Activity State had a average diurnality greater than 70% acriss all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1.9: Distribution of each state’s diurnality index. Only the High Activity State is predominantly diurnal. High Activity State had a average diurnality greater than 70% acriss all season."/>
                    <pic:cNvPicPr>
                      <a:picLocks noChangeAspect="1" noChangeArrowheads="1"/>
                    </pic:cNvPicPr>
                  </pic:nvPicPr>
                  <pic:blipFill>
                    <a:blip r:embed="rId11"/>
                    <a:stretch>
                      <a:fillRect/>
                    </a:stretch>
                  </pic:blipFill>
                  <pic:spPr bwMode="auto">
                    <a:xfrm>
                      <a:off x="0" y="0"/>
                      <a:ext cx="5943600" cy="2373630"/>
                    </a:xfrm>
                    <a:prstGeom prst="rect">
                      <a:avLst/>
                    </a:prstGeom>
                  </pic:spPr>
                </pic:pic>
              </a:graphicData>
            </a:graphic>
          </wp:inline>
        </w:drawing>
      </w:r>
    </w:p>
    <w:p>
      <w:pPr>
        <w:pStyle w:val="ImageCaption"/>
        <w:rPr/>
      </w:pPr>
      <w:r>
        <w:rPr/>
        <w:t>Figure 1.9: Distribution of each state’s diurnality index. Only the High Activity State is predominantly diurnal. High Activity State had a average diurnality greater than 70% acriss all season.</w:t>
      </w:r>
    </w:p>
    <w:p>
      <w:pPr>
        <w:pStyle w:val="TextBody"/>
        <w:rPr/>
      </w:pPr>
      <w:r>
        <w:rPr/>
        <w:drawing>
          <wp:inline distT="0" distB="0" distL="114935" distR="114935">
            <wp:extent cx="4620260" cy="369633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4620260" cy="3696335"/>
                    </a:xfrm>
                    <a:prstGeom prst="rect">
                      <a:avLst/>
                    </a:prstGeom>
                  </pic:spPr>
                </pic:pic>
              </a:graphicData>
            </a:graphic>
          </wp:inline>
        </w:drawing>
      </w:r>
    </w:p>
    <w:p>
      <w:pPr>
        <w:pStyle w:val="Normal"/>
        <w:rPr/>
      </w:pPr>
      <w:r>
        <w:rPr/>
      </w:r>
      <w:bookmarkStart w:id="20" w:name="diurnality"/>
      <w:bookmarkStart w:id="21" w:name="diurnality"/>
      <w:bookmarkEnd w:id="21"/>
      <w:r>
        <w:br w:type="page"/>
      </w:r>
    </w:p>
    <w:p>
      <w:pPr>
        <w:pStyle w:val="Heading3"/>
        <w:rPr/>
      </w:pPr>
      <w:r>
        <w:rPr/>
        <w:t>1.3.6</w:t>
        <w:tab/>
        <w:t>Circadian Rhythmicity</w:t>
      </w:r>
    </w:p>
    <w:p>
      <w:pPr>
        <w:pStyle w:val="FirstParagraph"/>
        <w:rPr/>
      </w:pPr>
      <w:r>
        <w:rPr/>
        <w:t>Circadian rhythms are present in all states as seen in the visual analysis of the autocorrelation plots (Table ??; REF APPENDIX - plotar ACFs). The percentage of animals classified as rhythmic is higher for the high activity state, where in total 18 animals were classified as rhythmic. In contrast, the medium activity state had, in total, 11 animals classified as rhythmic (Table ??).</w:t>
      </w:r>
    </w:p>
    <w:p>
      <w:pPr>
        <w:pStyle w:val="TextBody"/>
        <w:rPr/>
      </w:pPr>
      <w:r>
        <w:rPr/>
        <w:drawing>
          <wp:inline distT="0" distB="0" distL="114935" distR="114935">
            <wp:extent cx="4620260" cy="3696335"/>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4620260" cy="3696335"/>
                    </a:xfrm>
                    <a:prstGeom prst="rect">
                      <a:avLst/>
                    </a:prstGeom>
                  </pic:spPr>
                </pic:pic>
              </a:graphicData>
            </a:graphic>
          </wp:inline>
        </w:drawing>
      </w:r>
    </w:p>
    <w:p>
      <w:pPr>
        <w:pStyle w:val="TextBody"/>
        <w:rPr/>
      </w:pPr>
      <w:r>
        <w:rPr/>
        <w:t>We calculated the Rhythmicity Index (RI) only for animals classified as rhythmic (Figure 1.10A). It is important to note that animals classified as arrhythmic were excluded from this analysis, which is why there is a different number of samples between each category. Nonetheless, the Medium Activity State is significantly different from the other states (Figure 1.10A; ANOVA; p &lt; 0.05). We did not test for differences between seasons (See Methods).</w:t>
      </w:r>
    </w:p>
    <w:p>
      <w:pPr>
        <w:pStyle w:val="TextBody"/>
        <w:rPr/>
      </w:pPr>
      <w:r>
        <w:rPr/>
        <w:t>Lastly, we used lomb-scargle periodograms to estimate the periodicity of each state (Figure 1.10B). All estimated periods, independent of state, were in the 24-hour range. The high activity state has a mean period ± standard deviation of 23.87h ± 0.34. The medium activity state has a mean period of 23.91h ± 1.22.</w:t>
      </w:r>
    </w:p>
    <w:p>
      <w:pPr>
        <w:pStyle w:val="TextBody"/>
        <w:rPr/>
      </w:pPr>
      <w:r>
        <w:rPr/>
        <w:t xml:space="preserve">We also estimated RI and periodicity for VeDBA. In comparison with state-labelled data VeDBA analysis are more similar to the high activity state. The number of animals classified as rhythmic based on the autocorrelation plot is similar between VeDBA and high activity state data (Table ??). The distribution of RI and the period estimation using VeDBA does not visually differ greatly (Figure 1.10 A and B). For VeDBA the mean estimated period was 23.91h ± 0.31. </w:t>
      </w:r>
    </w:p>
    <w:p>
      <w:pPr>
        <w:pStyle w:val="CaptionedFigure"/>
        <w:rPr/>
      </w:pPr>
      <w:r>
        <w:rPr/>
        <w:drawing>
          <wp:inline distT="0" distB="0" distL="114935" distR="114935">
            <wp:extent cx="5943600" cy="5342255"/>
            <wp:effectExtent l="0" t="0" r="0" b="0"/>
            <wp:docPr id="12" name="Image11" descr="Figure 1.10: Distribution of Rhythmicity Index for state-labelled data and VeD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10: Distribution of Rhythmicity Index for state-labelled data and VeDBA."/>
                    <pic:cNvPicPr>
                      <a:picLocks noChangeAspect="1" noChangeArrowheads="1"/>
                    </pic:cNvPicPr>
                  </pic:nvPicPr>
                  <pic:blipFill>
                    <a:blip r:embed="rId14"/>
                    <a:stretch>
                      <a:fillRect/>
                    </a:stretch>
                  </pic:blipFill>
                  <pic:spPr bwMode="auto">
                    <a:xfrm>
                      <a:off x="0" y="0"/>
                      <a:ext cx="5943600" cy="5342255"/>
                    </a:xfrm>
                    <a:prstGeom prst="rect">
                      <a:avLst/>
                    </a:prstGeom>
                  </pic:spPr>
                </pic:pic>
              </a:graphicData>
            </a:graphic>
          </wp:inline>
        </w:drawing>
      </w:r>
    </w:p>
    <w:p>
      <w:pPr>
        <w:pStyle w:val="ImageCaption"/>
        <w:rPr/>
      </w:pPr>
      <w:r>
        <w:rPr/>
        <w:t>Figure 1.10: Distribution of Rhythmicity Index for state-labelled data and VeDBA.</w:t>
      </w:r>
    </w:p>
    <w:p>
      <w:pPr>
        <w:pStyle w:val="Normal"/>
        <w:rPr/>
      </w:pPr>
      <w:r>
        <w:rPr/>
      </w:r>
      <w:bookmarkStart w:id="22" w:name="results"/>
      <w:bookmarkStart w:id="23" w:name="circadian-rhythmicity"/>
      <w:bookmarkStart w:id="24" w:name="results"/>
      <w:bookmarkStart w:id="25" w:name="circadian-rhythmicity"/>
      <w:bookmarkEnd w:id="24"/>
      <w:bookmarkEnd w:id="25"/>
      <w:r>
        <w:br w:type="page"/>
      </w:r>
    </w:p>
    <w:p>
      <w:pPr>
        <w:pStyle w:val="Heading2"/>
        <w:numPr>
          <w:ilvl w:val="0"/>
          <w:numId w:val="2"/>
        </w:numPr>
        <w:rPr/>
      </w:pPr>
      <w:r>
        <w:rPr/>
        <w:t>1.4</w:t>
        <w:tab/>
        <w:t>Discussion</w:t>
      </w:r>
    </w:p>
    <w:p>
      <w:pPr>
        <w:pStyle w:val="Compact"/>
        <w:numPr>
          <w:ilvl w:val="0"/>
          <w:numId w:val="21"/>
        </w:numPr>
        <w:rPr/>
      </w:pPr>
      <w:r>
        <w:rPr/>
        <w:t>Optamos pelo tipo de modelos mais simples com outras a analises a posteriori. Existem outros métodos interessantes Patterson 2009. Extensions to out model could include (…)</w:t>
      </w:r>
    </w:p>
    <w:p>
      <w:pPr>
        <w:pStyle w:val="Compact"/>
        <w:numPr>
          <w:ilvl w:val="0"/>
          <w:numId w:val="22"/>
        </w:numPr>
        <w:rPr/>
      </w:pPr>
      <w:r>
        <w:rPr/>
        <w:t>limitações dos dados de lightlogger: não sabemos se os picos podem se extender durante a noite tbm.</w:t>
      </w:r>
    </w:p>
    <w:p>
      <w:pPr>
        <w:pStyle w:val="Compact"/>
        <w:numPr>
          <w:ilvl w:val="0"/>
          <w:numId w:val="23"/>
        </w:numPr>
        <w:rPr/>
      </w:pPr>
      <w:r>
        <w:rPr/>
        <w:t>diferença ritmicidade vedba vs estados na ritmicidade</w:t>
      </w:r>
    </w:p>
    <w:p>
      <w:pPr>
        <w:pStyle w:val="Compact"/>
        <w:numPr>
          <w:ilvl w:val="0"/>
          <w:numId w:val="24"/>
        </w:numPr>
        <w:rPr/>
      </w:pPr>
      <w:r>
        <w:rPr/>
        <w:t>os resultados do indice de ritmicidade devem ser interpretados com cuidado já que existe diferença na classificação dos animais em primeiro lugar. Isso principalmente na hora de interpretar o grafico de boxplot dos RI, entre HIGH e VEDBA.</w:t>
      </w:r>
      <w:bookmarkStart w:id="26" w:name="X617767b3eb3d366f071e7388f73cf83b6c4f709"/>
      <w:bookmarkStart w:id="27" w:name="discussion"/>
      <w:bookmarkEnd w:id="26"/>
      <w:bookmarkEnd w:id="27"/>
    </w:p>
    <w:p>
      <w:pPr>
        <w:pStyle w:val="Heading1"/>
        <w:rPr/>
      </w:pPr>
      <w:r>
        <w:rPr/>
        <w:t>2</w:t>
        <w:tab/>
        <w:t>Anillaco’s Plant Community</w:t>
      </w:r>
    </w:p>
    <w:p>
      <w:pPr>
        <w:pStyle w:val="FirstParagraph"/>
        <w:rPr/>
      </w:pPr>
      <w:r>
        <w:rPr/>
        <w:t>Following methods similar to (</w:t>
      </w:r>
      <w:hyperlink w:anchor="ref-aranda-rickert2014">
        <w:r>
          <w:rPr>
            <w:rStyle w:val="InternetLink"/>
          </w:rPr>
          <w:t>Aranda-Rickert, Diez, and Marazzi 2014</w:t>
        </w:r>
      </w:hyperlink>
      <w:r>
        <w:rPr/>
        <w:t>)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w:t>
      </w:r>
      <w:hyperlink w:anchor="ref-abraham2009">
        <w:r>
          <w:rPr>
            <w:rStyle w:val="InternetLink"/>
          </w:rPr>
          <w:t>Abraham et al. 2009</w:t>
        </w:r>
      </w:hyperlink>
      <w:r>
        <w:rPr/>
        <w:t xml:space="preserve">; </w:t>
      </w:r>
      <w:hyperlink w:anchor="ref-aranda-rickert2014">
        <w:r>
          <w:rPr>
            <w:rStyle w:val="InternetLink"/>
          </w:rPr>
          <w:t>Aranda-Rickert, Diez, and Marazzi 2014</w:t>
        </w:r>
      </w:hyperlink>
      <w:r>
        <w:rPr/>
        <w:t xml:space="preserve">; </w:t>
      </w:r>
      <w:hyperlink w:anchor="ref-fracchia2011">
        <w:r>
          <w:rPr>
            <w:rStyle w:val="InternetLink"/>
          </w:rPr>
          <w:t>Fracchia et al. 2011</w:t>
        </w:r>
      </w:hyperlink>
      <w:r>
        <w:rPr/>
        <w:t>). The results show a dominance of Zygolhyllaceae, Poaceae and Fabaceae families. The relative frequency of plant families and species recorded in the area are shown in the graphs below (Fig. 2.1).</w:t>
      </w:r>
    </w:p>
    <w:p>
      <w:pPr>
        <w:pStyle w:val="CaptionedFigure"/>
        <w:rPr/>
      </w:pPr>
      <w:r>
        <w:rPr/>
        <w:drawing>
          <wp:inline distT="0" distB="0" distL="114935" distR="114935">
            <wp:extent cx="5943600" cy="7264400"/>
            <wp:effectExtent l="0" t="0" r="0" b="0"/>
            <wp:docPr id="13"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15"/>
                    <a:stretch>
                      <a:fillRect/>
                    </a:stretch>
                  </pic:blipFill>
                  <pic:spPr bwMode="auto">
                    <a:xfrm>
                      <a:off x="0" y="0"/>
                      <a:ext cx="5943600" cy="7264400"/>
                    </a:xfrm>
                    <a:prstGeom prst="rect">
                      <a:avLst/>
                    </a:prstGeom>
                  </pic:spPr>
                </pic:pic>
              </a:graphicData>
            </a:graphic>
          </wp:inline>
        </w:drawing>
      </w:r>
    </w:p>
    <w:p>
      <w:pPr>
        <w:pStyle w:val="ImageCaption"/>
        <w:rPr/>
      </w:pPr>
      <w:r>
        <w:rPr/>
        <w:t>Figure 2.1: Relative frequency of plants family (A) and species (B) in three transects near the Study Site. The plant community is dominated by members of the Zygolhyllaceae, Poaceae and Fabaceae families and is in accordance with what has been described in the literature. (n = 145)</w:t>
      </w:r>
      <w:bookmarkStart w:id="28" w:name="anillacos-plant-community"/>
      <w:bookmarkEnd w:id="28"/>
    </w:p>
    <w:p>
      <w:pPr>
        <w:pStyle w:val="Heading1"/>
        <w:rPr/>
      </w:pPr>
      <w:r>
        <w:rPr/>
        <w:t>3</w:t>
        <w:tab/>
        <w:t>Anillaco’s Weather</w:t>
      </w:r>
    </w:p>
    <w:p>
      <w:pPr>
        <w:pStyle w:val="CaptionedFigure"/>
        <w:rPr/>
      </w:pPr>
      <w:r>
        <w:rPr/>
        <w:drawing>
          <wp:inline distT="0" distB="0" distL="114935" distR="114935">
            <wp:extent cx="5943600" cy="6604000"/>
            <wp:effectExtent l="0" t="0" r="0" b="0"/>
            <wp:docPr id="14" name="Image13" descr="Figure 3.1: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3.1: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16"/>
                    <a:stretch>
                      <a:fillRect/>
                    </a:stretch>
                  </pic:blipFill>
                  <pic:spPr bwMode="auto">
                    <a:xfrm>
                      <a:off x="0" y="0"/>
                      <a:ext cx="5943600" cy="6604000"/>
                    </a:xfrm>
                    <a:prstGeom prst="rect">
                      <a:avLst/>
                    </a:prstGeom>
                  </pic:spPr>
                </pic:pic>
              </a:graphicData>
            </a:graphic>
          </wp:inline>
        </w:drawing>
      </w:r>
    </w:p>
    <w:p>
      <w:pPr>
        <w:pStyle w:val="ImageCaption"/>
        <w:rPr/>
      </w:pPr>
      <w:r>
        <w:rPr/>
        <w:t>Figure 3.1: Temperature and Rainfall yearly trends in Anillaco, Argentina. Data was collected in the years 2017 and 2019 from a weather Station (Vantage Pro 2, Davis Instuments. USA.) maintened in CRILAR, aproximately 5km away from the study site.</w:t>
      </w:r>
      <w:bookmarkStart w:id="29" w:name="anillacos-weather"/>
      <w:bookmarkEnd w:id="29"/>
    </w:p>
    <w:p>
      <w:pPr>
        <w:pStyle w:val="Heading1"/>
        <w:rPr/>
      </w:pPr>
      <w:r>
        <w:rPr/>
        <w:t>4</w:t>
        <w:tab/>
        <w:t>Anillaco’s Yearly Daylength Changes</w:t>
      </w:r>
    </w:p>
    <w:p>
      <w:pPr>
        <w:pStyle w:val="Compact"/>
        <w:numPr>
          <w:ilvl w:val="0"/>
          <w:numId w:val="25"/>
        </w:numPr>
        <w:rPr/>
      </w:pPr>
      <w:r>
        <w:rPr/>
        <w:t>Adicionar tabela com duração do dia nas datas de coleta</w:t>
      </w:r>
    </w:p>
    <w:p>
      <w:pPr>
        <w:pStyle w:val="CaptionedFigure"/>
        <w:rPr/>
      </w:pPr>
      <w:r>
        <w:rPr/>
        <w:drawing>
          <wp:inline distT="0" distB="0" distL="114935" distR="114935">
            <wp:extent cx="5943600" cy="2971800"/>
            <wp:effectExtent l="0" t="0" r="0" b="0"/>
            <wp:docPr id="15" name="Image14" descr="Figure 4.1: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4.1: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17"/>
                    <a:stretch>
                      <a:fillRect/>
                    </a:stretch>
                  </pic:blipFill>
                  <pic:spPr bwMode="auto">
                    <a:xfrm>
                      <a:off x="0" y="0"/>
                      <a:ext cx="5943600" cy="2971800"/>
                    </a:xfrm>
                    <a:prstGeom prst="rect">
                      <a:avLst/>
                    </a:prstGeom>
                  </pic:spPr>
                </pic:pic>
              </a:graphicData>
            </a:graphic>
          </wp:inline>
        </w:drawing>
      </w:r>
    </w:p>
    <w:p>
      <w:pPr>
        <w:pStyle w:val="ImageCaption"/>
        <w:rPr/>
      </w:pPr>
      <w:r>
        <w:rPr/>
        <w:t>Figure 4.1: Changes in daytime changes across the year in Anillaco, La Rioja. Maximum duration of daytime, during summer, is 14 hours and 53 minutes. Mininum duration of daytime, during winter, is 11 hours and 10 minutes.</w:t>
      </w:r>
      <w:bookmarkStart w:id="30" w:name="anillacos-yearly-daylength-changes"/>
      <w:bookmarkEnd w:id="30"/>
    </w:p>
    <w:p>
      <w:pPr>
        <w:pStyle w:val="Heading1"/>
        <w:rPr/>
      </w:pPr>
      <w:r>
        <w:rPr/>
        <w:t>5</w:t>
        <w:tab/>
        <w:t>Static Acceleration Smooth Window Assessment</w:t>
      </w:r>
    </w:p>
    <w:p>
      <w:pPr>
        <w:pStyle w:val="Normal"/>
        <w:rPr/>
      </w:pPr>
      <w:r>
        <w:rPr/>
      </w:r>
      <w:r>
        <w:br w:type="page"/>
      </w:r>
    </w:p>
    <w:p>
      <w:pPr>
        <w:pStyle w:val="FirstParagraph"/>
        <w:rPr/>
      </w:pPr>
      <w:r>
        <w:rPr/>
        <w:drawing>
          <wp:inline distT="0" distB="0" distL="114935" distR="114935">
            <wp:extent cx="5943600" cy="6604000"/>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8"/>
                    <a:stretch>
                      <a:fillRect/>
                    </a:stretch>
                  </pic:blipFill>
                  <pic:spPr bwMode="auto">
                    <a:xfrm>
                      <a:off x="0" y="0"/>
                      <a:ext cx="5943600" cy="6604000"/>
                    </a:xfrm>
                    <a:prstGeom prst="rect">
                      <a:avLst/>
                    </a:prstGeom>
                  </pic:spPr>
                </pic:pic>
              </a:graphicData>
            </a:graphic>
          </wp:inline>
        </w:drawing>
      </w:r>
      <w:bookmarkStart w:id="31" w:name="Xcbc62cc38c208a197767bb756a67ae1c5233e9c"/>
      <w:bookmarkEnd w:id="31"/>
    </w:p>
    <w:p>
      <w:pPr>
        <w:pStyle w:val="Heading1"/>
        <w:rPr/>
      </w:pPr>
      <w:r>
        <w:rPr/>
        <w:t>6</w:t>
        <w:tab/>
        <w:t>Exploratory VeDBA data Analysis</w:t>
      </w:r>
    </w:p>
    <w:p>
      <w:pPr>
        <w:pStyle w:val="Compact"/>
        <w:numPr>
          <w:ilvl w:val="0"/>
          <w:numId w:val="26"/>
        </w:numPr>
        <w:rPr/>
      </w:pPr>
      <w:r>
        <w:rPr/>
        <w:t>adicionar descrião dos animais</w:t>
      </w:r>
    </w:p>
    <w:p>
      <w:pPr>
        <w:pStyle w:val="Compact"/>
        <w:numPr>
          <w:ilvl w:val="1"/>
          <w:numId w:val="27"/>
        </w:numPr>
        <w:rPr/>
      </w:pPr>
      <w:r>
        <w:rPr/>
        <w:t>peso, por sexo e estacao</w:t>
      </w:r>
    </w:p>
    <w:p>
      <w:pPr>
        <w:pStyle w:val="Heading2"/>
        <w:numPr>
          <w:ilvl w:val="0"/>
          <w:numId w:val="2"/>
        </w:numPr>
        <w:rPr/>
      </w:pPr>
      <w:r>
        <w:rPr/>
        <w:t>6.1</w:t>
        <w:tab/>
        <w:t>Time Series Plot</w:t>
      </w:r>
    </w:p>
    <w:p>
      <w:pPr>
        <w:pStyle w:val="FirstParagraph"/>
        <w:rPr/>
      </w:pPr>
      <w:r>
        <w:rPr/>
        <w:t>Primeiro uma verificada geral nos dados em formato de série temporal. Os gráficos mostram apenas os 4 primeiros dias de registro de cada animal.</w:t>
      </w:r>
    </w:p>
    <w:p>
      <w:pPr>
        <w:pStyle w:val="TextBody"/>
        <w:rPr/>
      </w:pPr>
      <w:r>
        <w:rPr/>
        <w:t>Não é possível ver muita diferença entre os animais então nas séries temporais então estão plotados apenas 4 animais. É interessante que em alguns animais já é possível ver que oo pontos parecem estar mais ou menos organizados em três regiões distintas na vertical.</w:t>
      </w:r>
    </w:p>
    <w:p>
      <w:pPr>
        <w:pStyle w:val="TextBody"/>
        <w:rPr/>
      </w:pPr>
      <w:r>
        <w:rPr/>
        <w:drawing>
          <wp:inline distT="0" distB="0" distL="114935" distR="114935">
            <wp:extent cx="5943600" cy="475488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9"/>
                    <a:stretch>
                      <a:fillRect/>
                    </a:stretch>
                  </pic:blipFill>
                  <pic:spPr bwMode="auto">
                    <a:xfrm>
                      <a:off x="0" y="0"/>
                      <a:ext cx="5943600" cy="4754880"/>
                    </a:xfrm>
                    <a:prstGeom prst="rect">
                      <a:avLst/>
                    </a:prstGeom>
                  </pic:spPr>
                </pic:pic>
              </a:graphicData>
            </a:graphic>
          </wp:inline>
        </w:drawing>
      </w:r>
    </w:p>
    <w:p>
      <w:pPr>
        <w:pStyle w:val="Normal"/>
        <w:rPr/>
      </w:pPr>
      <w:r>
        <w:rPr/>
      </w:r>
      <w:bookmarkStart w:id="32" w:name="time-series-plot"/>
      <w:bookmarkStart w:id="33" w:name="time-series-plot"/>
      <w:bookmarkEnd w:id="33"/>
      <w:r>
        <w:br w:type="page"/>
      </w:r>
    </w:p>
    <w:p>
      <w:pPr>
        <w:pStyle w:val="Heading2"/>
        <w:numPr>
          <w:ilvl w:val="0"/>
          <w:numId w:val="2"/>
        </w:numPr>
        <w:rPr/>
      </w:pPr>
      <w:r>
        <w:rPr/>
        <w:t>6.2</w:t>
        <w:tab/>
        <w:t>Histogramas e Gráficos de Densidade</w:t>
      </w:r>
    </w:p>
    <w:p>
      <w:pPr>
        <w:pStyle w:val="FirstParagraph"/>
        <w:rPr/>
      </w:pPr>
      <w:r>
        <w:rPr/>
        <w:t>Antes de seguir para outras análises vamos observar as distribuições dos dados de acelerômetros para ver se há muita heterogeneidade entre os animais. Os dados de atividade para esses gráficos foram limitados à 4 dias por animal, assim o número de amostras por animal é o mesmo.</w:t>
      </w:r>
    </w:p>
    <w:p>
      <w:pPr>
        <w:pStyle w:val="TextBody"/>
        <w:rPr/>
      </w:pPr>
      <w:r>
        <w:rPr/>
        <w:t>As distribuições de VeDBA parecem ter um range muito próximo de valores. Ou seja, parece não haver animais que possuam uma atividade muito mais intensa do que outros, o que também pode ser visto na tabela abaixo. Porém, o formato da distribuição muda entre alguns animais, principalmente entre estações. Por exemplo, os animais capturados em outubro parecem ter maior número de amostras com valores mais à direita da distribuição, entre 0.2 e 0.5. Alguns animais capturados em Fevereiro parecem continuar com essa tendência. Em julho, porém, os animais parecem ter uma distribuição com maior concentração em valores mais centrais, entre 0.05 e 0.2. Essas mesmas tendências também podem ser observadas de uma forma mais compacta no gráficos de densidade por animal.</w:t>
      </w:r>
    </w:p>
    <w:p>
      <w:pPr>
        <w:pStyle w:val="TextBody"/>
        <w:rPr/>
      </w:pPr>
      <w:r>
        <w:rPr/>
        <w:t>Então, os animais, apesar de terem distribuição de VeDBA que não distoam muito uns dos outros no seu range, parecem passar tempos diferentes em tipos de diferentes de comportamentos.</w:t>
      </w:r>
    </w:p>
    <w:p>
      <w:pPr>
        <w:pStyle w:val="Normal"/>
        <w:rPr/>
      </w:pPr>
      <w:r>
        <w:rPr/>
      </w:r>
      <w:r>
        <w:br w:type="page"/>
      </w:r>
    </w:p>
    <w:p>
      <w:pPr>
        <w:pStyle w:val="TextBody"/>
        <w:rPr/>
      </w:pPr>
      <w:r>
        <w:rPr/>
        <w:drawing>
          <wp:inline distT="0" distB="0" distL="114935" distR="114935">
            <wp:extent cx="4620260" cy="3696335"/>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0"/>
                    <a:stretch>
                      <a:fillRect/>
                    </a:stretch>
                  </pic:blipFill>
                  <pic:spPr bwMode="auto">
                    <a:xfrm>
                      <a:off x="0" y="0"/>
                      <a:ext cx="4620260" cy="3696335"/>
                    </a:xfrm>
                    <a:prstGeom prst="rect">
                      <a:avLst/>
                    </a:prstGeom>
                  </pic:spPr>
                </pic:pic>
              </a:graphicData>
            </a:graphic>
          </wp:inline>
        </w:drawing>
      </w:r>
    </w:p>
    <w:p>
      <w:pPr>
        <w:pStyle w:val="Normal"/>
        <w:rPr/>
      </w:pPr>
      <w:r>
        <w:rPr/>
      </w:r>
      <w:r>
        <w:br w:type="page"/>
      </w:r>
    </w:p>
    <w:p>
      <w:pPr>
        <w:pStyle w:val="TextBody"/>
        <w:rPr/>
      </w:pPr>
      <w:r>
        <w:rPr/>
        <w:drawing>
          <wp:inline distT="0" distB="0" distL="114935" distR="114935">
            <wp:extent cx="5943600" cy="7132320"/>
            <wp:effectExtent l="0" t="0" r="0" b="0"/>
            <wp:docPr id="19" name="Image18" descr="Figure 6.1: Histograma dos valore de VeDBA por animal (cada quadro). As cores representam os meses em que esses animais foram captu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ure 6.1: Histograma dos valore de VeDBA por animal (cada quadro). As cores representam os meses em que esses animais foram capturados."/>
                    <pic:cNvPicPr>
                      <a:picLocks noChangeAspect="1" noChangeArrowheads="1"/>
                    </pic:cNvPicPr>
                  </pic:nvPicPr>
                  <pic:blipFill>
                    <a:blip r:embed="rId21"/>
                    <a:stretch>
                      <a:fillRect/>
                    </a:stretch>
                  </pic:blipFill>
                  <pic:spPr bwMode="auto">
                    <a:xfrm>
                      <a:off x="0" y="0"/>
                      <a:ext cx="5943600" cy="7132320"/>
                    </a:xfrm>
                    <a:prstGeom prst="rect">
                      <a:avLst/>
                    </a:prstGeom>
                  </pic:spPr>
                </pic:pic>
              </a:graphicData>
            </a:graphic>
          </wp:inline>
        </w:drawing>
      </w:r>
      <w:r>
        <w:rPr/>
        <w:t xml:space="preserve"> </w:t>
      </w:r>
    </w:p>
    <w:p>
      <w:pPr>
        <w:pStyle w:val="CaptionedFigure"/>
        <w:rPr/>
      </w:pPr>
      <w:r>
        <w:rPr/>
        <w:drawing>
          <wp:inline distT="0" distB="0" distL="114935" distR="114935">
            <wp:extent cx="5943600" cy="4753610"/>
            <wp:effectExtent l="0" t="0" r="0" b="0"/>
            <wp:docPr id="20" name="Image19" descr="Figure 6.2: Ridge plot mostrando a densidade da distribuição dos valores de VeDBA divididos por animal. As cores representam os meses em que os animais foram captu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ure 6.2: Ridge plot mostrando a densidade da distribuição dos valores de VeDBA divididos por animal. As cores representam os meses em que os animais foram capturados."/>
                    <pic:cNvPicPr>
                      <a:picLocks noChangeAspect="1" noChangeArrowheads="1"/>
                    </pic:cNvPicPr>
                  </pic:nvPicPr>
                  <pic:blipFill>
                    <a:blip r:embed="rId22"/>
                    <a:stretch>
                      <a:fillRect/>
                    </a:stretch>
                  </pic:blipFill>
                  <pic:spPr bwMode="auto">
                    <a:xfrm>
                      <a:off x="0" y="0"/>
                      <a:ext cx="5943600" cy="4753610"/>
                    </a:xfrm>
                    <a:prstGeom prst="rect">
                      <a:avLst/>
                    </a:prstGeom>
                  </pic:spPr>
                </pic:pic>
              </a:graphicData>
            </a:graphic>
          </wp:inline>
        </w:drawing>
      </w:r>
    </w:p>
    <w:p>
      <w:pPr>
        <w:pStyle w:val="ImageCaption"/>
        <w:rPr/>
      </w:pPr>
      <w:r>
        <w:rPr/>
        <w:t>Figure 6.2: Ridge plot mostrando a densidade da distribuição dos valores de VeDBA divididos por animal. As cores representam os meses em que os animais foram capturados.</w:t>
      </w:r>
    </w:p>
    <w:p>
      <w:pPr>
        <w:pStyle w:val="Normal"/>
        <w:rPr/>
      </w:pPr>
      <w:r>
        <w:rPr/>
      </w:r>
      <w:bookmarkStart w:id="34" w:name="histogramas-e-gráficos-de-densidade"/>
      <w:bookmarkStart w:id="35" w:name="histogramas-e-gráficos-de-densidade"/>
      <w:bookmarkEnd w:id="35"/>
      <w:r>
        <w:br w:type="page"/>
      </w:r>
    </w:p>
    <w:p>
      <w:pPr>
        <w:pStyle w:val="Heading2"/>
        <w:numPr>
          <w:ilvl w:val="0"/>
          <w:numId w:val="2"/>
        </w:numPr>
        <w:rPr/>
      </w:pPr>
      <w:r>
        <w:rPr/>
        <w:t>6.3</w:t>
        <w:tab/>
        <w:t>Padrões Médios de Atividade por Animal</w:t>
      </w:r>
    </w:p>
    <w:p>
      <w:pPr>
        <w:pStyle w:val="FirstParagraph"/>
        <w:rPr/>
      </w:pPr>
      <w:r>
        <w:rPr/>
        <w:t>Para terminar, é interessante ver como é o “ritmo médio” ao longo de todo tempo de registro dos animais. Acho que esse gráfico é especialmente interessante para pessoas fora da cronobiologia, já que é bem mais intuitivo do que os actogramas.</w:t>
      </w:r>
    </w:p>
    <w:p>
      <w:pPr>
        <w:pStyle w:val="TextBody"/>
        <w:rPr/>
      </w:pPr>
      <w:r>
        <w:rPr/>
        <w:t>Nesses primeiro gráfico foi plotado a média por hora dos valores de VeDBA de cada animal.</w:t>
      </w:r>
    </w:p>
    <w:p>
      <w:pPr>
        <w:pStyle w:val="TextBody"/>
        <w:rPr/>
      </w:pPr>
      <w:r>
        <w:rPr/>
        <w:drawing>
          <wp:inline distT="0" distB="0" distL="114935" distR="114935">
            <wp:extent cx="5943600" cy="7132320"/>
            <wp:effectExtent l="0" t="0" r="0" b="0"/>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3"/>
                    <a:stretch>
                      <a:fillRect/>
                    </a:stretch>
                  </pic:blipFill>
                  <pic:spPr bwMode="auto">
                    <a:xfrm>
                      <a:off x="0" y="0"/>
                      <a:ext cx="5943600" cy="7132320"/>
                    </a:xfrm>
                    <a:prstGeom prst="rect">
                      <a:avLst/>
                    </a:prstGeom>
                  </pic:spPr>
                </pic:pic>
              </a:graphicData>
            </a:graphic>
          </wp:inline>
        </w:drawing>
      </w:r>
    </w:p>
    <w:p>
      <w:pPr>
        <w:pStyle w:val="Normal"/>
        <w:rPr/>
      </w:pPr>
      <w:r>
        <w:rPr/>
      </w:r>
      <w:bookmarkStart w:id="36" w:name="padrões-médios-de-atividade-por-animal"/>
      <w:bookmarkStart w:id="37" w:name="padrões-médios-de-atividade-por-animal"/>
      <w:bookmarkEnd w:id="37"/>
      <w:r>
        <w:br w:type="page"/>
      </w:r>
    </w:p>
    <w:p>
      <w:pPr>
        <w:pStyle w:val="Heading2"/>
        <w:numPr>
          <w:ilvl w:val="0"/>
          <w:numId w:val="2"/>
        </w:numPr>
        <w:rPr/>
      </w:pPr>
      <w:r>
        <w:rPr/>
        <w:t>6.4</w:t>
        <w:tab/>
        <w:t>Gráficos Agrupados por Estação e Sexo</w:t>
      </w:r>
    </w:p>
    <w:p>
      <w:pPr>
        <w:pStyle w:val="Heading3"/>
        <w:rPr/>
      </w:pPr>
      <w:r>
        <w:rPr/>
        <w:t>6.4.1</w:t>
        <w:tab/>
        <w:t>Histogramas/Gráfico de Densidade</w:t>
      </w:r>
    </w:p>
    <w:p>
      <w:pPr>
        <w:pStyle w:val="FirstParagraph"/>
        <w:rPr/>
      </w:pPr>
      <w:r>
        <w:rPr/>
        <w:t>Visualmente parece haver alguma diferença sazonal nas atividade dos tucos. Vamos inspecionar melhor isso agrupando os dados por estação e sexo.</w:t>
      </w:r>
    </w:p>
    <w:p>
      <w:pPr>
        <w:pStyle w:val="TextBody"/>
        <w:rPr/>
      </w:pPr>
      <w:r>
        <w:rPr/>
        <w:t>Como o número de amostras varia entre estações e sexo o histograma não seria muito informativo nesse caso. Então pra isso podemos fazer um gráfico de densidade. Esses gráficos basicamente refletem a forma do histograma mas, nesse caso, tem a vantagem de que são padronizados para que a área abaixo da curva serja sempre igual a 1.</w:t>
      </w:r>
    </w:p>
    <w:p>
      <w:pPr>
        <w:pStyle w:val="TextBody"/>
        <w:rPr/>
      </w:pPr>
      <w:r>
        <w:rPr/>
        <w:t xml:space="preserve">Assim, podemos ver como o perfil das distribuições muda ao longo das estações e entre sexos mesmo tendo um número de amostras diferente para cada condição. Os valores em </w:t>
      </w:r>
      <w:r>
        <w:rPr>
          <w:rStyle w:val="VerbatimChar"/>
        </w:rPr>
        <w:t>y</w:t>
      </w:r>
      <w:r>
        <w:rPr/>
        <w:t xml:space="preserve"> não significam muita coisa individualmente.</w:t>
      </w:r>
    </w:p>
    <w:p>
      <w:pPr>
        <w:pStyle w:val="TextBody"/>
        <w:rPr/>
      </w:pPr>
      <w:r>
        <w:rPr/>
        <w:t>Visualmente temos o que também vimos nos histogramas anteriores. A distribuição parece mudar ao longo do ano. No entanto, quando sobrepomos as distribuições de cada sexo parece não haver muita diferença entre machos e fêmeas.</w:t>
      </w:r>
    </w:p>
    <w:p>
      <w:pPr>
        <w:pStyle w:val="TextBody"/>
        <w:rPr/>
      </w:pPr>
      <w:r>
        <w:rPr/>
        <w:drawing>
          <wp:inline distT="0" distB="0" distL="114935" distR="114935">
            <wp:extent cx="5943600" cy="5943600"/>
            <wp:effectExtent l="0" t="0" r="0" b="0"/>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4"/>
                    <a:stretch>
                      <a:fillRect/>
                    </a:stretch>
                  </pic:blipFill>
                  <pic:spPr bwMode="auto">
                    <a:xfrm>
                      <a:off x="0" y="0"/>
                      <a:ext cx="5943600" cy="5943600"/>
                    </a:xfrm>
                    <a:prstGeom prst="rect">
                      <a:avLst/>
                    </a:prstGeom>
                  </pic:spPr>
                </pic:pic>
              </a:graphicData>
            </a:graphic>
          </wp:inline>
        </w:drawing>
      </w:r>
    </w:p>
    <w:p>
      <w:pPr>
        <w:pStyle w:val="Normal"/>
        <w:rPr/>
      </w:pPr>
      <w:r>
        <w:rPr/>
      </w:r>
      <w:bookmarkStart w:id="38" w:name="histogramasgráfico-de-densidade"/>
      <w:bookmarkStart w:id="39" w:name="histogramasgráfico-de-densidade"/>
      <w:bookmarkEnd w:id="39"/>
      <w:r>
        <w:br w:type="page"/>
      </w:r>
    </w:p>
    <w:p>
      <w:pPr>
        <w:pStyle w:val="Heading3"/>
        <w:rPr/>
      </w:pPr>
      <w:r>
        <w:rPr/>
        <w:t>6.4.2</w:t>
        <w:tab/>
        <w:t>Medianas e Boxplots</w:t>
      </w:r>
    </w:p>
    <w:p>
      <w:pPr>
        <w:pStyle w:val="FirstParagraph"/>
        <w:rPr/>
      </w:pPr>
      <w:r>
        <w:rPr/>
        <w:drawing>
          <wp:inline distT="0" distB="0" distL="114935" distR="114935">
            <wp:extent cx="4620260" cy="3696335"/>
            <wp:effectExtent l="0" t="0" r="0" b="0"/>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5"/>
                    <a:stretch>
                      <a:fillRect/>
                    </a:stretch>
                  </pic:blipFill>
                  <pic:spPr bwMode="auto">
                    <a:xfrm>
                      <a:off x="0" y="0"/>
                      <a:ext cx="4620260" cy="3696335"/>
                    </a:xfrm>
                    <a:prstGeom prst="rect">
                      <a:avLst/>
                    </a:prstGeom>
                  </pic:spPr>
                </pic:pic>
              </a:graphicData>
            </a:graphic>
          </wp:inline>
        </w:drawing>
      </w:r>
    </w:p>
    <w:p>
      <w:pPr>
        <w:pStyle w:val="TextBody"/>
        <w:rPr/>
      </w:pPr>
      <w:r>
        <w:rPr/>
        <w:drawing>
          <wp:inline distT="0" distB="0" distL="114935" distR="114935">
            <wp:extent cx="5943600" cy="4753610"/>
            <wp:effectExtent l="0" t="0" r="0" b="0"/>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6"/>
                    <a:stretch>
                      <a:fillRect/>
                    </a:stretch>
                  </pic:blipFill>
                  <pic:spPr bwMode="auto">
                    <a:xfrm>
                      <a:off x="0" y="0"/>
                      <a:ext cx="5943600" cy="4753610"/>
                    </a:xfrm>
                    <a:prstGeom prst="rect">
                      <a:avLst/>
                    </a:prstGeom>
                  </pic:spPr>
                </pic:pic>
              </a:graphicData>
            </a:graphic>
          </wp:inline>
        </w:drawing>
      </w:r>
      <w:bookmarkStart w:id="40" w:name="gráficos-agrupados-por-estação-e-sexo"/>
      <w:bookmarkStart w:id="41" w:name="medianas-e-boxplots"/>
      <w:bookmarkEnd w:id="40"/>
      <w:bookmarkEnd w:id="41"/>
    </w:p>
    <w:p>
      <w:pPr>
        <w:pStyle w:val="Heading2"/>
        <w:numPr>
          <w:ilvl w:val="0"/>
          <w:numId w:val="2"/>
        </w:numPr>
        <w:rPr/>
      </w:pPr>
      <w:r>
        <w:rPr/>
        <w:t>6.5</w:t>
        <w:tab/>
        <w:t>ECDF</w:t>
      </w:r>
    </w:p>
    <w:p>
      <w:pPr>
        <w:pStyle w:val="FirstParagraph"/>
        <w:rPr/>
      </w:pPr>
      <w:r>
        <w:rPr/>
        <w:drawing>
          <wp:inline distT="0" distB="0" distL="114935" distR="114935">
            <wp:extent cx="5943600" cy="5943600"/>
            <wp:effectExtent l="0" t="0" r="0" b="0"/>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7"/>
                    <a:stretch>
                      <a:fillRect/>
                    </a:stretch>
                  </pic:blipFill>
                  <pic:spPr bwMode="auto">
                    <a:xfrm>
                      <a:off x="0" y="0"/>
                      <a:ext cx="5943600" cy="5943600"/>
                    </a:xfrm>
                    <a:prstGeom prst="rect">
                      <a:avLst/>
                    </a:prstGeom>
                  </pic:spPr>
                </pic:pic>
              </a:graphicData>
            </a:graphic>
          </wp:inline>
        </w:drawing>
      </w:r>
    </w:p>
    <w:p>
      <w:pPr>
        <w:pStyle w:val="Normal"/>
        <w:rPr/>
      </w:pPr>
      <w:r>
        <w:rPr/>
      </w:r>
      <w:bookmarkStart w:id="42" w:name="ecdf"/>
      <w:bookmarkStart w:id="43" w:name="ecdf"/>
      <w:bookmarkEnd w:id="43"/>
      <w:r>
        <w:br w:type="page"/>
      </w:r>
    </w:p>
    <w:p>
      <w:pPr>
        <w:pStyle w:val="Heading2"/>
        <w:numPr>
          <w:ilvl w:val="0"/>
          <w:numId w:val="2"/>
        </w:numPr>
        <w:rPr/>
      </w:pPr>
      <w:r>
        <w:rPr/>
        <w:t>6.6</w:t>
        <w:tab/>
        <w:t>Padrão Médio de Atividade por Estação e Sexo</w:t>
      </w:r>
    </w:p>
    <w:p>
      <w:pPr>
        <w:pStyle w:val="FirstParagraph"/>
        <w:rPr/>
      </w:pPr>
      <w:r>
        <w:rPr/>
        <w:t>Nesse último gráfico eu queria verificar se temporalmente existe alguma diferença entre macho e fêmeas. Cada painel é um grupo entre as opções de combinação de sexo e estação.</w:t>
      </w:r>
    </w:p>
    <w:p>
      <w:pPr>
        <w:pStyle w:val="TextBody"/>
        <w:rPr/>
      </w:pPr>
      <w:r>
        <w:rPr/>
        <w:t>As mesma curvas de VeDBA médio por hora são mostradas em cinza ao fundo, onde cada curva representa um animal diferente. Em cores, colorido por estação, está a média de VeDBA por hora do grupo representado no painel.</w:t>
      </w:r>
    </w:p>
    <w:p>
      <w:pPr>
        <w:pStyle w:val="TextBody"/>
        <w:rPr/>
      </w:pPr>
      <w:r>
        <w:rPr/>
        <w:t>Aparentemente também não existe uma diferença tão grande entre machos e fêmeas quanto aos horário de atividade. Porém, temos um n bem baixo de machos capturados o que torna dificil fazermos uma observação muito concreta.</w:t>
      </w:r>
    </w:p>
    <w:p>
      <w:pPr>
        <w:pStyle w:val="TextBody"/>
        <w:rPr/>
      </w:pPr>
      <w:r>
        <w:rPr/>
        <w:drawing>
          <wp:inline distT="0" distB="0" distL="114935" distR="114935">
            <wp:extent cx="5943600" cy="5943600"/>
            <wp:effectExtent l="0" t="0" r="0" b="0"/>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8"/>
                    <a:stretch>
                      <a:fillRect/>
                    </a:stretch>
                  </pic:blipFill>
                  <pic:spPr bwMode="auto">
                    <a:xfrm>
                      <a:off x="0" y="0"/>
                      <a:ext cx="5943600" cy="5943600"/>
                    </a:xfrm>
                    <a:prstGeom prst="rect">
                      <a:avLst/>
                    </a:prstGeom>
                  </pic:spPr>
                </pic:pic>
              </a:graphicData>
            </a:graphic>
          </wp:inline>
        </w:drawing>
      </w:r>
      <w:bookmarkStart w:id="44" w:name="exploratory-vedba-data-analysis"/>
      <w:bookmarkStart w:id="45" w:name="X9d408e5388f2eddde44d152afa1b4c215a3f80f"/>
      <w:bookmarkEnd w:id="44"/>
      <w:bookmarkEnd w:id="45"/>
    </w:p>
    <w:p>
      <w:pPr>
        <w:pStyle w:val="Heading1"/>
        <w:rPr/>
      </w:pPr>
      <w:r>
        <w:rPr/>
        <w:t>7</w:t>
        <w:tab/>
        <w:t>Models’ AIC</w:t>
      </w:r>
    </w:p>
    <w:p>
      <w:pPr>
        <w:pStyle w:val="Compact"/>
        <w:numPr>
          <w:ilvl w:val="0"/>
          <w:numId w:val="28"/>
        </w:numPr>
        <w:rPr/>
      </w:pPr>
      <w:r>
        <w:rPr/>
        <w:t>Adicionar o LL</w:t>
      </w:r>
    </w:p>
    <w:p>
      <w:pPr>
        <w:pStyle w:val="FirstParagraph"/>
        <w:rPr/>
      </w:pPr>
      <w:r>
        <w:rPr/>
        <w:drawing>
          <wp:inline distT="0" distB="0" distL="114935" distR="114935">
            <wp:extent cx="4620260" cy="3696335"/>
            <wp:effectExtent l="0" t="0" r="0" b="0"/>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9"/>
                    <a:stretch>
                      <a:fillRect/>
                    </a:stretch>
                  </pic:blipFill>
                  <pic:spPr bwMode="auto">
                    <a:xfrm>
                      <a:off x="0" y="0"/>
                      <a:ext cx="4620260" cy="3696335"/>
                    </a:xfrm>
                    <a:prstGeom prst="rect">
                      <a:avLst/>
                    </a:prstGeom>
                  </pic:spPr>
                </pic:pic>
              </a:graphicData>
            </a:graphic>
          </wp:inline>
        </w:drawing>
      </w:r>
      <w:bookmarkStart w:id="46" w:name="models-aic"/>
      <w:bookmarkEnd w:id="46"/>
    </w:p>
    <w:p>
      <w:pPr>
        <w:pStyle w:val="Heading1"/>
        <w:rPr/>
      </w:pPr>
      <w:r>
        <w:rPr/>
        <w:t>8</w:t>
        <w:tab/>
        <w:t>Model’s Estimated Parameters</w:t>
      </w:r>
    </w:p>
    <w:p>
      <w:pPr>
        <w:pStyle w:val="FirstParagraph"/>
        <w:rPr/>
      </w:pPr>
      <w:r>
        <w:rPr/>
        <w:drawing>
          <wp:inline distT="0" distB="0" distL="114935" distR="114935">
            <wp:extent cx="4620260" cy="3696335"/>
            <wp:effectExtent l="0" t="0" r="0" b="0"/>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30"/>
                    <a:stretch>
                      <a:fillRect/>
                    </a:stretch>
                  </pic:blipFill>
                  <pic:spPr bwMode="auto">
                    <a:xfrm>
                      <a:off x="0" y="0"/>
                      <a:ext cx="4620260" cy="3696335"/>
                    </a:xfrm>
                    <a:prstGeom prst="rect">
                      <a:avLst/>
                    </a:prstGeom>
                  </pic:spPr>
                </pic:pic>
              </a:graphicData>
            </a:graphic>
          </wp:inline>
        </w:drawing>
      </w:r>
      <w:bookmarkStart w:id="47" w:name="models-estimated-parameters"/>
      <w:bookmarkEnd w:id="47"/>
    </w:p>
    <w:p>
      <w:pPr>
        <w:pStyle w:val="Heading1"/>
        <w:rPr/>
      </w:pPr>
      <w:r>
        <w:rPr/>
        <w:t>9</w:t>
        <w:tab/>
        <w:t>Pseudo-residuals</w:t>
      </w:r>
    </w:p>
    <w:p>
      <w:pPr>
        <w:pStyle w:val="FirstParagraph"/>
        <w:rPr/>
      </w:pPr>
      <w:r>
        <w:rPr/>
        <w:drawing>
          <wp:inline distT="0" distB="0" distL="114935" distR="114935">
            <wp:extent cx="5943600" cy="4953000"/>
            <wp:effectExtent l="0" t="0" r="0" b="0"/>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1"/>
                    <a:stretch>
                      <a:fillRect/>
                    </a:stretch>
                  </pic:blipFill>
                  <pic:spPr bwMode="auto">
                    <a:xfrm>
                      <a:off x="0" y="0"/>
                      <a:ext cx="5943600" cy="4953000"/>
                    </a:xfrm>
                    <a:prstGeom prst="rect">
                      <a:avLst/>
                    </a:prstGeom>
                  </pic:spPr>
                </pic:pic>
              </a:graphicData>
            </a:graphic>
          </wp:inline>
        </w:drawing>
      </w:r>
      <w:bookmarkStart w:id="48" w:name="pseudo-residuals"/>
      <w:bookmarkEnd w:id="48"/>
    </w:p>
    <w:p>
      <w:pPr>
        <w:pStyle w:val="Heading1"/>
        <w:rPr/>
      </w:pPr>
      <w:r>
        <w:rPr/>
        <w:t>10</w:t>
        <w:tab/>
        <w:t>VeDBA Actograms</w:t>
      </w:r>
    </w:p>
    <w:p>
      <w:pPr>
        <w:pStyle w:val="FirstParagraph"/>
        <w:rPr/>
      </w:pPr>
      <w:r>
        <w:rPr/>
        <w:drawing>
          <wp:inline distT="0" distB="0" distL="114935" distR="114935">
            <wp:extent cx="5943600" cy="8209915"/>
            <wp:effectExtent l="0" t="0" r="0" b="0"/>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2"/>
                    <a:stretch>
                      <a:fillRect/>
                    </a:stretch>
                  </pic:blipFill>
                  <pic:spPr bwMode="auto">
                    <a:xfrm>
                      <a:off x="0" y="0"/>
                      <a:ext cx="5943600" cy="8209915"/>
                    </a:xfrm>
                    <a:prstGeom prst="rect">
                      <a:avLst/>
                    </a:prstGeom>
                  </pic:spPr>
                </pic:pic>
              </a:graphicData>
            </a:graphic>
          </wp:inline>
        </w:drawing>
      </w:r>
      <w:bookmarkStart w:id="49" w:name="vedba-actograms"/>
      <w:bookmarkEnd w:id="49"/>
    </w:p>
    <w:p>
      <w:pPr>
        <w:pStyle w:val="Heading1"/>
        <w:rPr/>
      </w:pPr>
      <w:r>
        <w:rPr/>
        <w:t>11</w:t>
        <w:tab/>
        <w:t>High Activity Actograms</w:t>
      </w:r>
    </w:p>
    <w:p>
      <w:pPr>
        <w:pStyle w:val="FirstParagraph"/>
        <w:rPr/>
      </w:pPr>
      <w:r>
        <w:rPr/>
        <w:drawing>
          <wp:inline distT="0" distB="0" distL="114935" distR="114935">
            <wp:extent cx="5943600" cy="8209915"/>
            <wp:effectExtent l="0" t="0" r="0" b="0"/>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33"/>
                    <a:stretch>
                      <a:fillRect/>
                    </a:stretch>
                  </pic:blipFill>
                  <pic:spPr bwMode="auto">
                    <a:xfrm>
                      <a:off x="0" y="0"/>
                      <a:ext cx="5943600" cy="8209915"/>
                    </a:xfrm>
                    <a:prstGeom prst="rect">
                      <a:avLst/>
                    </a:prstGeom>
                  </pic:spPr>
                </pic:pic>
              </a:graphicData>
            </a:graphic>
          </wp:inline>
        </w:drawing>
      </w:r>
      <w:bookmarkStart w:id="50" w:name="high-activity-actograms"/>
      <w:bookmarkEnd w:id="50"/>
    </w:p>
    <w:p>
      <w:pPr>
        <w:pStyle w:val="Heading1"/>
        <w:rPr/>
      </w:pPr>
      <w:r>
        <w:rPr/>
        <w:t>12</w:t>
        <w:tab/>
        <w:t>Medium Activity Actograms</w:t>
      </w:r>
    </w:p>
    <w:p>
      <w:pPr>
        <w:pStyle w:val="FirstParagraph"/>
        <w:rPr/>
      </w:pPr>
      <w:r>
        <w:rPr/>
        <w:drawing>
          <wp:inline distT="0" distB="0" distL="114935" distR="114935">
            <wp:extent cx="5943600" cy="8209915"/>
            <wp:effectExtent l="0" t="0" r="0" b="0"/>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4"/>
                    <a:stretch>
                      <a:fillRect/>
                    </a:stretch>
                  </pic:blipFill>
                  <pic:spPr bwMode="auto">
                    <a:xfrm>
                      <a:off x="0" y="0"/>
                      <a:ext cx="5943600" cy="8209915"/>
                    </a:xfrm>
                    <a:prstGeom prst="rect">
                      <a:avLst/>
                    </a:prstGeom>
                  </pic:spPr>
                </pic:pic>
              </a:graphicData>
            </a:graphic>
          </wp:inline>
        </w:drawing>
      </w:r>
      <w:bookmarkStart w:id="51" w:name="medium-activity-actograms"/>
      <w:bookmarkEnd w:id="51"/>
    </w:p>
    <w:p>
      <w:pPr>
        <w:pStyle w:val="Heading1"/>
        <w:rPr/>
      </w:pPr>
      <w:r>
        <w:rPr/>
        <w:t>13</w:t>
        <w:tab/>
        <w:t>Rhythmicity</w:t>
      </w:r>
    </w:p>
    <w:p>
      <w:pPr>
        <w:pStyle w:val="FirstParagraph"/>
        <w:rPr/>
      </w:pPr>
      <w:r>
        <w:rPr/>
        <w:drawing>
          <wp:inline distT="0" distB="0" distL="114935" distR="114935">
            <wp:extent cx="5943600" cy="8208645"/>
            <wp:effectExtent l="0" t="0" r="0" b="0"/>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35"/>
                    <a:stretch>
                      <a:fillRect/>
                    </a:stretch>
                  </pic:blipFill>
                  <pic:spPr bwMode="auto">
                    <a:xfrm>
                      <a:off x="0" y="0"/>
                      <a:ext cx="5943600" cy="8208645"/>
                    </a:xfrm>
                    <a:prstGeom prst="rect">
                      <a:avLst/>
                    </a:prstGeom>
                  </pic:spPr>
                </pic:pic>
              </a:graphicData>
            </a:graphic>
          </wp:inline>
        </w:drawing>
      </w:r>
      <w:bookmarkStart w:id="52" w:name="rhythmicity"/>
      <w:bookmarkEnd w:id="52"/>
    </w:p>
    <w:p>
      <w:pPr>
        <w:pStyle w:val="Heading1"/>
        <w:rPr/>
      </w:pPr>
      <w:r>
        <w:rPr/>
        <w:t>14</w:t>
        <w:tab/>
        <w:t>Period Estimation</w:t>
      </w:r>
    </w:p>
    <w:p>
      <w:pPr>
        <w:pStyle w:val="FirstParagraph"/>
        <w:rPr/>
      </w:pPr>
      <w:r>
        <w:rPr/>
        <w:drawing>
          <wp:inline distT="0" distB="0" distL="114935" distR="114935">
            <wp:extent cx="5943600" cy="8208645"/>
            <wp:effectExtent l="0" t="0" r="0" b="0"/>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6"/>
                    <a:stretch>
                      <a:fillRect/>
                    </a:stretch>
                  </pic:blipFill>
                  <pic:spPr bwMode="auto">
                    <a:xfrm>
                      <a:off x="0" y="0"/>
                      <a:ext cx="5943600" cy="8208645"/>
                    </a:xfrm>
                    <a:prstGeom prst="rect">
                      <a:avLst/>
                    </a:prstGeom>
                  </pic:spPr>
                </pic:pic>
              </a:graphicData>
            </a:graphic>
          </wp:inline>
        </w:drawing>
      </w:r>
      <w:bookmarkStart w:id="53" w:name="period-estimation"/>
      <w:bookmarkEnd w:id="53"/>
    </w:p>
    <w:p>
      <w:pPr>
        <w:pStyle w:val="Heading1"/>
        <w:rPr/>
      </w:pPr>
      <w:r>
        <w:rPr/>
        <w:t>References</w:t>
      </w:r>
    </w:p>
    <w:p>
      <w:pPr>
        <w:pStyle w:val="FirstParagraph"/>
        <w:rPr/>
      </w:pPr>
      <w:r>
        <w:rPr/>
      </w:r>
    </w:p>
    <w:p>
      <w:pPr>
        <w:pStyle w:val="Bibliography"/>
        <w:rPr/>
      </w:pPr>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37">
        <w:r>
          <w:rPr>
            <w:rStyle w:val="InternetLink"/>
          </w:rPr>
          <w:t>https://doi.org/10.1016/j.jaridenv.2008.09.028</w:t>
        </w:r>
      </w:hyperlink>
      <w:r>
        <w:rPr/>
        <w:t>.</w:t>
      </w:r>
      <w:bookmarkStart w:id="54" w:name="ref-abraham2009"/>
      <w:bookmarkEnd w:id="54"/>
    </w:p>
    <w:p>
      <w:pPr>
        <w:pStyle w:val="Bibliography"/>
        <w:rPr/>
      </w:pPr>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38">
        <w:r>
          <w:rPr>
            <w:rStyle w:val="InternetLink"/>
          </w:rPr>
          <w:t>https://doi.org/10.7717/peerj.2559</w:t>
        </w:r>
      </w:hyperlink>
      <w:r>
        <w:rPr/>
        <w:t>.</w:t>
      </w:r>
      <w:bookmarkStart w:id="55" w:name="ref-amaya2016"/>
      <w:bookmarkEnd w:id="55"/>
    </w:p>
    <w:p>
      <w:pPr>
        <w:pStyle w:val="Bibliography"/>
        <w:rPr/>
      </w:pPr>
      <w:r>
        <w:rPr/>
        <w:t xml:space="preserve">Aranda-Rickert, Adriana, Patricia Diez, and Brigitte Marazzi. 2014. “Extrafloral Nectar Fuels Ant Life in Deserts.” </w:t>
      </w:r>
      <w:r>
        <w:rPr>
          <w:i/>
          <w:iCs/>
        </w:rPr>
        <w:t>AoB PLANTS</w:t>
      </w:r>
      <w:r>
        <w:rPr/>
        <w:t xml:space="preserve"> 6 (January). </w:t>
      </w:r>
      <w:hyperlink r:id="rId39">
        <w:r>
          <w:rPr>
            <w:rStyle w:val="InternetLink"/>
          </w:rPr>
          <w:t>https://doi.org/10.1093/aobpla/plu068</w:t>
        </w:r>
      </w:hyperlink>
      <w:r>
        <w:rPr/>
        <w:t>.</w:t>
      </w:r>
      <w:bookmarkStart w:id="56" w:name="ref-aranda-rickert2014"/>
      <w:bookmarkEnd w:id="56"/>
    </w:p>
    <w:p>
      <w:pPr>
        <w:pStyle w:val="Bibliography"/>
        <w:rPr/>
      </w:pPr>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40">
        <w:r>
          <w:rPr>
            <w:rStyle w:val="InternetLink"/>
          </w:rPr>
          <w:t>https://doi.org/10.1111/j.1570-7458.2011.01111.x</w:t>
        </w:r>
      </w:hyperlink>
      <w:r>
        <w:rPr/>
        <w:t>.</w:t>
      </w:r>
      <w:bookmarkStart w:id="57" w:name="ref-aranda-rickert2011a"/>
      <w:bookmarkEnd w:id="57"/>
    </w:p>
    <w:p>
      <w:pPr>
        <w:pStyle w:val="Bibliography"/>
        <w:rPr/>
      </w:pPr>
      <w:r>
        <w:rPr/>
        <w:t xml:space="preserve">Bivand, Roger, and Nicholas Lewin-Koh. 2020. “Maptools: Tools for Handling Spatial Objects.” </w:t>
      </w:r>
      <w:hyperlink r:id="rId41">
        <w:r>
          <w:rPr>
            <w:rStyle w:val="InternetLink"/>
          </w:rPr>
          <w:t>https://CRAN.R-project.org/package=maptools</w:t>
        </w:r>
      </w:hyperlink>
      <w:r>
        <w:rPr/>
        <w:t>.</w:t>
      </w:r>
      <w:bookmarkStart w:id="58" w:name="ref-bivand2020"/>
      <w:bookmarkEnd w:id="58"/>
    </w:p>
    <w:p>
      <w:pPr>
        <w:pStyle w:val="Bibliography"/>
        <w:rPr/>
      </w:pPr>
      <w:r>
        <w:rPr/>
        <w:t xml:space="preserve">Bunn, Andrew G. 2008. “A Dendrochronology Program Library in R (dplR).” </w:t>
      </w:r>
      <w:r>
        <w:rPr>
          <w:i/>
          <w:iCs/>
        </w:rPr>
        <w:t>Dendrochronologia</w:t>
      </w:r>
      <w:r>
        <w:rPr/>
        <w:t xml:space="preserve"> 26 (2): 115–24. </w:t>
      </w:r>
      <w:hyperlink r:id="rId42">
        <w:r>
          <w:rPr>
            <w:rStyle w:val="InternetLink"/>
          </w:rPr>
          <w:t>https://doi.org/10.1016/j.dendro.2008.01.002</w:t>
        </w:r>
      </w:hyperlink>
      <w:r>
        <w:rPr/>
        <w:t>.</w:t>
      </w:r>
      <w:bookmarkStart w:id="59" w:name="ref-bunn2008"/>
      <w:bookmarkEnd w:id="59"/>
    </w:p>
    <w:p>
      <w:pPr>
        <w:pStyle w:val="Bibliography"/>
        <w:rPr/>
      </w:pPr>
      <w:r>
        <w:rPr/>
        <w:t xml:space="preserve">Burnham, Kenneth P., David Raymond Anderson, and Kenneth P. Burnham. 2002. </w:t>
      </w:r>
      <w:r>
        <w:rPr>
          <w:i/>
          <w:iCs/>
        </w:rPr>
        <w:t>Model Selection and Multimodel Inference: A Practical Information-Theoretic Approach</w:t>
      </w:r>
      <w:r>
        <w:rPr/>
        <w:t>. 2nd ed. New York: Springer.</w:t>
      </w:r>
      <w:bookmarkStart w:id="60" w:name="ref-burnham2002"/>
      <w:bookmarkEnd w:id="60"/>
    </w:p>
    <w:p>
      <w:pPr>
        <w:pStyle w:val="Bibliography"/>
        <w:rPr/>
      </w:pPr>
      <w:r>
        <w:rPr/>
        <w:t xml:space="preserve">Dowse, Harold B. 2009. “Chapter 6 Analyses for Physiological and Behavioral Rhythmicity.” In, 454:141–74. Elsevier. </w:t>
      </w:r>
      <w:hyperlink r:id="rId43">
        <w:r>
          <w:rPr>
            <w:rStyle w:val="InternetLink"/>
          </w:rPr>
          <w:t>https://doi.org/10.1016/S0076-6879(08)03806-8</w:t>
        </w:r>
      </w:hyperlink>
      <w:r>
        <w:rPr/>
        <w:t>.</w:t>
      </w:r>
      <w:bookmarkStart w:id="61" w:name="ref-dowse2009"/>
      <w:bookmarkEnd w:id="61"/>
    </w:p>
    <w:p>
      <w:pPr>
        <w:pStyle w:val="Bibliography"/>
        <w:rPr/>
      </w:pPr>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44">
        <w:r>
          <w:rPr>
            <w:rStyle w:val="InternetLink"/>
          </w:rPr>
          <w:t>https://doi.org/10.1016/j.jaridenv.2011.04.034</w:t>
        </w:r>
      </w:hyperlink>
      <w:r>
        <w:rPr/>
        <w:t>.</w:t>
      </w:r>
      <w:bookmarkStart w:id="62" w:name="ref-fracchia2011"/>
      <w:bookmarkEnd w:id="62"/>
    </w:p>
    <w:p>
      <w:pPr>
        <w:pStyle w:val="Bibliography"/>
        <w:rPr/>
      </w:pPr>
      <w:r>
        <w:rPr/>
        <w:t xml:space="preserve">Halle, S., and Nils Chr Stenseth, eds. 2000. </w:t>
      </w:r>
      <w:r>
        <w:rPr>
          <w:i/>
          <w:iCs/>
        </w:rPr>
        <w:t>Activity Patterns in Small Mammals: An Ecological Approach</w:t>
      </w:r>
      <w:r>
        <w:rPr/>
        <w:t>. Ecological Studies, v. 141. Berlin ; New York: Springer.</w:t>
      </w:r>
      <w:bookmarkStart w:id="63" w:name="ref-activity2000"/>
      <w:bookmarkEnd w:id="63"/>
    </w:p>
    <w:p>
      <w:pPr>
        <w:pStyle w:val="Bibliography"/>
        <w:rPr/>
      </w:pPr>
      <w:r>
        <w:rPr/>
        <w:t xml:space="preserve">Hans W. Borchers. 2019. “Pracma: Practical Numerical Math Functions.” </w:t>
      </w:r>
      <w:hyperlink r:id="rId45">
        <w:r>
          <w:rPr>
            <w:rStyle w:val="InternetLink"/>
          </w:rPr>
          <w:t>https://CRAN.R-project.org/package=pracma</w:t>
        </w:r>
      </w:hyperlink>
      <w:r>
        <w:rPr/>
        <w:t>.</w:t>
      </w:r>
      <w:bookmarkStart w:id="64" w:name="ref-hansw.borchers2019"/>
      <w:bookmarkEnd w:id="64"/>
    </w:p>
    <w:p>
      <w:pPr>
        <w:pStyle w:val="Bibliography"/>
        <w:rPr/>
      </w:pPr>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46">
        <w:r>
          <w:rPr>
            <w:rStyle w:val="InternetLink"/>
          </w:rPr>
          <w:t>https://doi.org/10.1093/conphys/coz044</w:t>
        </w:r>
      </w:hyperlink>
      <w:r>
        <w:rPr/>
        <w:t>.</w:t>
      </w:r>
      <w:bookmarkStart w:id="65" w:name="ref-jannetti2019"/>
      <w:bookmarkEnd w:id="65"/>
    </w:p>
    <w:p>
      <w:pPr>
        <w:pStyle w:val="Bibliography"/>
        <w:rPr/>
      </w:pPr>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47">
        <w:r>
          <w:rPr>
            <w:rStyle w:val="InternetLink"/>
          </w:rPr>
          <w:t>https://doi.org/10.1890/11-2241.1</w:t>
        </w:r>
      </w:hyperlink>
      <w:r>
        <w:rPr/>
        <w:t>.</w:t>
      </w:r>
      <w:bookmarkStart w:id="66" w:name="ref-langrock2012"/>
      <w:bookmarkEnd w:id="66"/>
    </w:p>
    <w:p>
      <w:pPr>
        <w:pStyle w:val="Bibliography"/>
        <w:rPr/>
      </w:pPr>
      <w:r>
        <w:rPr/>
        <w:t xml:space="preserve">Leise, Tanya L. 2017. “Analysis of Nonstationary Time Series for Biological Rhythms Research.” </w:t>
      </w:r>
      <w:r>
        <w:rPr>
          <w:i/>
          <w:iCs/>
        </w:rPr>
        <w:t>Journal of Biological Rhythms</w:t>
      </w:r>
      <w:r>
        <w:rPr/>
        <w:t xml:space="preserve"> 32 (3): 187–94. </w:t>
      </w:r>
      <w:hyperlink r:id="rId48">
        <w:r>
          <w:rPr>
            <w:rStyle w:val="InternetLink"/>
          </w:rPr>
          <w:t>https://doi.org/10.1177/0748730417709105</w:t>
        </w:r>
      </w:hyperlink>
      <w:r>
        <w:rPr/>
        <w:t>.</w:t>
      </w:r>
      <w:bookmarkStart w:id="67" w:name="ref-leise2017"/>
      <w:bookmarkEnd w:id="67"/>
    </w:p>
    <w:p>
      <w:pPr>
        <w:pStyle w:val="Bibliography"/>
        <w:rPr/>
      </w:pPr>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49">
        <w:r>
          <w:rPr>
            <w:rStyle w:val="InternetLink"/>
          </w:rPr>
          <w:t>https://doi.org/10.1111/2041-210X.12657</w:t>
        </w:r>
      </w:hyperlink>
      <w:r>
        <w:rPr/>
        <w:t>.</w:t>
      </w:r>
      <w:bookmarkStart w:id="68" w:name="ref-leosbarajas2017"/>
      <w:bookmarkEnd w:id="68"/>
    </w:p>
    <w:p>
      <w:pPr>
        <w:pStyle w:val="Bibliography"/>
        <w:rPr/>
      </w:pPr>
      <w:r>
        <w:rPr/>
        <w:t xml:space="preserve">Levine, Joel D, Pablo Funes, Harold B Dowse, and Jeffrey C Hall. 2002. “Signal Analysis of Behavioral and Molecular Cycles.” </w:t>
      </w:r>
      <w:r>
        <w:rPr>
          <w:i/>
          <w:iCs/>
        </w:rPr>
        <w:t>BMC Neuroscience</w:t>
      </w:r>
      <w:r>
        <w:rPr/>
        <w:t>, 25.</w:t>
      </w:r>
      <w:bookmarkStart w:id="69" w:name="ref-levine2002"/>
      <w:bookmarkEnd w:id="69"/>
    </w:p>
    <w:p>
      <w:pPr>
        <w:pStyle w:val="Bibliography"/>
        <w:rPr/>
      </w:pPr>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50">
        <w:r>
          <w:rPr>
            <w:rStyle w:val="InternetLink"/>
          </w:rPr>
          <w:t>https://doi.org/10.1111/ele.13610</w:t>
        </w:r>
      </w:hyperlink>
      <w:r>
        <w:rPr/>
        <w:t>.</w:t>
      </w:r>
      <w:bookmarkStart w:id="70" w:name="ref-mcclintock2020"/>
      <w:bookmarkEnd w:id="70"/>
    </w:p>
    <w:p>
      <w:pPr>
        <w:pStyle w:val="Bibliography"/>
        <w:rPr/>
      </w:pPr>
      <w:r>
        <w:rPr/>
        <w:t>McClintock, Brett T, and Theo Michelot. 2021. “momentuHMM: R Package for Analysis of Telemetry Data Using Generalized Multivariate Hidden Markov Models of Animal Movement,” 155.</w:t>
      </w:r>
      <w:bookmarkStart w:id="71" w:name="ref-mcclintock2021"/>
      <w:bookmarkEnd w:id="71"/>
    </w:p>
    <w:p>
      <w:pPr>
        <w:pStyle w:val="Bibliography"/>
        <w:rPr/>
      </w:pPr>
      <w:r>
        <w:rPr/>
        <w:t>Michelot, Theo, and Roland Langrock. 2019. “A Short Guide to Choosing Initial Parameter Values for the Estimation in moveHMM,” 10.</w:t>
      </w:r>
      <w:bookmarkStart w:id="72" w:name="ref-michelot2019"/>
      <w:bookmarkEnd w:id="72"/>
    </w:p>
    <w:p>
      <w:pPr>
        <w:pStyle w:val="Bibliography"/>
        <w:rPr/>
      </w:pPr>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51">
        <w:r>
          <w:rPr>
            <w:rStyle w:val="InternetLink"/>
          </w:rPr>
          <w:t>https://doi.org/10.1186/s40462-018-0127-3</w:t>
        </w:r>
      </w:hyperlink>
      <w:r>
        <w:rPr/>
        <w:t>.</w:t>
      </w:r>
      <w:bookmarkStart w:id="73" w:name="ref-papastamatiou2018"/>
      <w:bookmarkEnd w:id="73"/>
    </w:p>
    <w:p>
      <w:pPr>
        <w:pStyle w:val="Bibliography"/>
        <w:rPr/>
      </w:pPr>
      <w:r>
        <w:rPr/>
        <w:t xml:space="preserve">Patterson, Allison, Hugh Grant Gilchrist, Lorraine Chivers, Scott Hatch, and Kyle Elliott. 2019. “A Comparison of Techniques for Classifying Behavior from Accelerometers for Two Species of Seabird.” </w:t>
      </w:r>
      <w:r>
        <w:rPr>
          <w:i/>
          <w:iCs/>
        </w:rPr>
        <w:t>Ecology and Evolution</w:t>
      </w:r>
      <w:r>
        <w:rPr/>
        <w:t xml:space="preserve"> 9 (6): 3030–45. </w:t>
      </w:r>
      <w:hyperlink r:id="rId52">
        <w:r>
          <w:rPr>
            <w:rStyle w:val="InternetLink"/>
          </w:rPr>
          <w:t>https://doi.org/10.1002/ece3.4740</w:t>
        </w:r>
      </w:hyperlink>
      <w:r>
        <w:rPr/>
        <w:t>.</w:t>
      </w:r>
      <w:bookmarkStart w:id="74" w:name="ref-patterson2019"/>
      <w:bookmarkEnd w:id="74"/>
    </w:p>
    <w:p>
      <w:pPr>
        <w:pStyle w:val="Bibliography"/>
        <w:rPr/>
      </w:pPr>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53">
        <w:r>
          <w:rPr>
            <w:rStyle w:val="InternetLink"/>
          </w:rPr>
          <w:t>https://doi.org/10.1111/j.1365-2656.2009.01583.x</w:t>
        </w:r>
      </w:hyperlink>
      <w:r>
        <w:rPr/>
        <w:t>.</w:t>
      </w:r>
      <w:bookmarkStart w:id="75" w:name="ref-patterson2009"/>
      <w:bookmarkEnd w:id="75"/>
    </w:p>
    <w:p>
      <w:pPr>
        <w:pStyle w:val="Bibliography"/>
        <w:rPr/>
      </w:pPr>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54">
        <w:r>
          <w:rPr>
            <w:rStyle w:val="InternetLink"/>
          </w:rPr>
          <w:t>https://doi.org/10.1007/s13253-017-0283-8</w:t>
        </w:r>
      </w:hyperlink>
      <w:r>
        <w:rPr/>
        <w:t>.</w:t>
      </w:r>
      <w:bookmarkStart w:id="76" w:name="ref-pohle2017"/>
      <w:bookmarkEnd w:id="76"/>
    </w:p>
    <w:p>
      <w:pPr>
        <w:pStyle w:val="Bibliography"/>
        <w:rPr/>
      </w:pPr>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55">
        <w:r>
          <w:rPr>
            <w:rStyle w:val="InternetLink"/>
          </w:rPr>
          <w:t>https://doi.org/10.1371/journal.pone.0031187</w:t>
        </w:r>
      </w:hyperlink>
      <w:r>
        <w:rPr/>
        <w:t>.</w:t>
      </w:r>
      <w:bookmarkStart w:id="77" w:name="ref-qasem2012"/>
      <w:bookmarkEnd w:id="77"/>
    </w:p>
    <w:p>
      <w:pPr>
        <w:pStyle w:val="Bibliography"/>
        <w:rPr/>
      </w:pPr>
      <w:r>
        <w:rPr/>
        <w:t xml:space="preserve">R Core Team. 2020. “R: A Language and Environment for Statistical Computing.” </w:t>
      </w:r>
      <w:hyperlink r:id="rId56">
        <w:r>
          <w:rPr>
            <w:rStyle w:val="InternetLink"/>
          </w:rPr>
          <w:t>https://www.R-project.org/.</w:t>
        </w:r>
      </w:hyperlink>
      <w:bookmarkStart w:id="78" w:name="ref-rcoreteam2020"/>
      <w:bookmarkEnd w:id="78"/>
    </w:p>
    <w:p>
      <w:pPr>
        <w:pStyle w:val="Bibliography"/>
        <w:rPr/>
      </w:pPr>
      <w:r>
        <w:rPr/>
        <w:t xml:space="preserve">Ruf, T. 1999. “The Lomb-Scargle Periodogram in Biological Rhythm Research: Analysis of Incomplete and Unequally Spaced Time-Series.” </w:t>
      </w:r>
      <w:r>
        <w:rPr>
          <w:i/>
          <w:iCs/>
        </w:rPr>
        <w:t>Biological Rhythm Research</w:t>
      </w:r>
      <w:r>
        <w:rPr/>
        <w:t xml:space="preserve"> 30 (2): 178–201. </w:t>
      </w:r>
      <w:hyperlink r:id="rId57">
        <w:r>
          <w:rPr>
            <w:rStyle w:val="InternetLink"/>
          </w:rPr>
          <w:t>https://doi.org/10.1076/brhm.30.2.178.1422</w:t>
        </w:r>
      </w:hyperlink>
      <w:r>
        <w:rPr/>
        <w:t>.</w:t>
      </w:r>
      <w:bookmarkStart w:id="79" w:name="ref-ruf1999"/>
      <w:bookmarkEnd w:id="79"/>
    </w:p>
    <w:p>
      <w:pPr>
        <w:pStyle w:val="Bibliography"/>
        <w:rPr/>
      </w:pPr>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58">
        <w:r>
          <w:rPr>
            <w:rStyle w:val="InternetLink"/>
          </w:rPr>
          <w:t>https://doi.org/10.3354/ab00104</w:t>
        </w:r>
      </w:hyperlink>
      <w:r>
        <w:rPr/>
        <w:t>.</w:t>
      </w:r>
      <w:bookmarkStart w:id="80" w:name="ref-shepard2008"/>
      <w:bookmarkEnd w:id="80"/>
    </w:p>
    <w:p>
      <w:pPr>
        <w:pStyle w:val="Bibliography"/>
        <w:rPr/>
      </w:pPr>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59">
        <w:r>
          <w:rPr>
            <w:rStyle w:val="InternetLink"/>
          </w:rPr>
          <w:t>https://doi.org/10.1371/journal.pone.0037918</w:t>
        </w:r>
      </w:hyperlink>
      <w:r>
        <w:rPr/>
        <w:t>.</w:t>
      </w:r>
      <w:bookmarkStart w:id="81" w:name="ref-tomotani2012"/>
      <w:bookmarkEnd w:id="81"/>
    </w:p>
    <w:p>
      <w:pPr>
        <w:pStyle w:val="Bibliography"/>
        <w:rPr/>
      </w:pPr>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60">
        <w:r>
          <w:rPr>
            <w:rStyle w:val="InternetLink"/>
          </w:rPr>
          <w:t>https://doi.org/10.1080/07420520802686331</w:t>
        </w:r>
      </w:hyperlink>
      <w:r>
        <w:rPr/>
        <w:t>.</w:t>
      </w:r>
      <w:bookmarkStart w:id="82" w:name="ref-valentinuzzi2009"/>
      <w:bookmarkEnd w:id="82"/>
    </w:p>
    <w:p>
      <w:pPr>
        <w:pStyle w:val="Bibliography"/>
        <w:rPr/>
      </w:pPr>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61">
        <w:r>
          <w:rPr>
            <w:rStyle w:val="InternetLink"/>
          </w:rPr>
          <w:t>https://doi.org/10.1111/1365-2656.12290</w:t>
        </w:r>
      </w:hyperlink>
      <w:r>
        <w:rPr/>
        <w:t>.</w:t>
      </w:r>
      <w:bookmarkStart w:id="83" w:name="ref-vandekerk2015"/>
      <w:bookmarkEnd w:id="83"/>
    </w:p>
    <w:p>
      <w:pPr>
        <w:pStyle w:val="Bibliography"/>
        <w:rPr/>
      </w:pPr>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62">
        <w:r>
          <w:rPr>
            <w:rStyle w:val="InternetLink"/>
          </w:rPr>
          <w:t>https://doi.org/10.1644/14-MAMM-A-062</w:t>
        </w:r>
      </w:hyperlink>
      <w:r>
        <w:rPr/>
        <w:t>.</w:t>
      </w:r>
      <w:bookmarkStart w:id="84" w:name="ref-williams2014"/>
      <w:bookmarkEnd w:id="84"/>
    </w:p>
    <w:p>
      <w:pPr>
        <w:pStyle w:val="Bibliography"/>
        <w:spacing w:before="0" w:after="200"/>
        <w:rPr/>
      </w:pPr>
      <w:r>
        <w:rPr/>
        <w:t xml:space="preserve">Zucchini, Walter, Iain MacDonald, and Roland Langrock. 2016. </w:t>
      </w:r>
      <w:r>
        <w:rPr>
          <w:i/>
          <w:iCs/>
        </w:rPr>
        <w:t>Hidden Markov Models for Time Series - An Introduction Using R</w:t>
      </w:r>
      <w:r>
        <w:rPr/>
        <w:t>. Vol. 43.</w:t>
      </w:r>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autoRedefine/>
    <w:uiPriority w:val="9"/>
    <w:qFormat/>
    <w:rsid w:val="00c41672"/>
    <w:pPr>
      <w:numPr>
        <w:ilvl w:val="0"/>
        <w:numId w:val="0"/>
      </w:numPr>
      <w:spacing w:before="340" w:after="369"/>
    </w:pPr>
    <w:rPr>
      <w:b/>
      <w:sz w:val="32"/>
      <w:szCs w:val="32"/>
    </w:rPr>
  </w:style>
  <w:style w:type="paragraph" w:styleId="Heading2">
    <w:name w:val="Heading 2"/>
    <w:basedOn w:val="Normal"/>
    <w:next w:val="TextBody"/>
    <w:autoRedefine/>
    <w:uiPriority w:val="9"/>
    <w:unhideWhenUsed/>
    <w:qFormat/>
    <w:rsid w:val="003d6a2f"/>
    <w:pPr>
      <w:keepNext w:val="true"/>
      <w:keepLines/>
      <w:numPr>
        <w:ilvl w:val="0"/>
        <w:numId w:val="1"/>
      </w:numPr>
      <w:spacing w:before="369" w:after="346"/>
      <w:jc w:val="left"/>
      <w:outlineLvl w:val="0"/>
    </w:pPr>
    <w:rPr>
      <w:rFonts w:ascii="Garamond" w:hAnsi="Garamond" w:eastAsia="" w:cs="" w:cstheme="majorBidi" w:eastAsiaTheme="majorEastAsia"/>
      <w:b/>
      <w:bCs/>
      <w:sz w:val="28"/>
      <w:szCs w:val="28"/>
    </w:rPr>
  </w:style>
  <w:style w:type="paragraph" w:styleId="Heading3">
    <w:name w:val="Heading 3"/>
    <w:basedOn w:val="Normal"/>
    <w:next w:val="TextBody"/>
    <w:uiPriority w:val="9"/>
    <w:unhideWhenUsed/>
    <w:qFormat/>
    <w:rsid w:val="00c41672"/>
    <w:pPr>
      <w:spacing w:before="340" w:after="369"/>
      <w:outlineLvl w:val="1"/>
    </w:pPr>
    <w:rPr>
      <w:rFonts w:ascii="Garamond" w:hAnsi="Garamond"/>
      <w:b/>
      <w:i w:val="false"/>
      <w:sz w:val="24"/>
      <w:szCs w:val="24"/>
    </w:rPr>
  </w:style>
  <w:style w:type="paragraph" w:styleId="Heading4">
    <w:name w:val="Heading 4"/>
    <w:basedOn w:val="Normal"/>
    <w:next w:val="TextBody"/>
    <w:uiPriority w:val="9"/>
    <w:unhideWhenUsed/>
    <w:qFormat/>
    <w:rsid w:val="00cc2101"/>
    <w:pPr>
      <w:keepNext w:val="true"/>
      <w:keepLines/>
      <w:spacing w:before="369" w:after="340"/>
      <w:ind w:hanging="0"/>
      <w:outlineLvl w:val="3"/>
    </w:pPr>
    <w:rPr>
      <w:rFonts w:ascii="Garamond" w:hAnsi="Garamond" w:eastAsia="" w:cs="" w:cstheme="majorBidi" w:eastAsiaTheme="majorEastAsia"/>
      <w:b/>
      <w:bCs/>
      <w:sz w:val="24"/>
    </w:rPr>
  </w:style>
  <w:style w:type="paragraph" w:styleId="Heading5">
    <w:name w:val="Heading 5"/>
    <w:basedOn w:val="Normal"/>
    <w:next w:val="TextBody"/>
    <w:uiPriority w:val="9"/>
    <w:unhideWhenUsed/>
    <w:qFormat/>
    <w:rsid w:val="00cc2101"/>
    <w:pPr>
      <w:keepNext w:val="true"/>
      <w:keepLines/>
      <w:spacing w:before="200" w:after="0"/>
      <w:ind w:hanging="0"/>
      <w:outlineLvl w:val="4"/>
    </w:pPr>
    <w:rPr>
      <w:rFonts w:ascii="Garamond" w:hAnsi="Garamond" w:eastAsia="" w:cs="" w:cstheme="majorBidi" w:eastAsiaTheme="majorEastAsia"/>
      <w:i w:val="false"/>
      <w:iCs/>
      <w:sz w:val="24"/>
    </w:rPr>
  </w:style>
  <w:style w:type="paragraph" w:styleId="Heading6">
    <w:name w:val="Heading 6"/>
    <w:basedOn w:val="Normal"/>
    <w:next w:val="TextBody"/>
    <w:uiPriority w:val="9"/>
    <w:unhideWhenUsed/>
    <w:qFormat/>
    <w:rsid w:val="00cc2101"/>
    <w:pPr>
      <w:keepNext w:val="true"/>
      <w:keepLines/>
      <w:spacing w:before="200" w:after="0"/>
      <w:ind w:hanging="0"/>
      <w:outlineLvl w:val="5"/>
    </w:pPr>
    <w:rPr>
      <w:rFonts w:ascii="Garamond" w:hAnsi="Garamond" w:eastAsia="" w:cs="" w:cstheme="majorBidi" w:eastAsiaTheme="majorEastAsia"/>
      <w:sz w:val="24"/>
    </w:rPr>
  </w:style>
  <w:style w:type="paragraph" w:styleId="Heading7">
    <w:name w:val="Heading 7"/>
    <w:basedOn w:val="Normal"/>
    <w:next w:val="TextBody"/>
    <w:uiPriority w:val="9"/>
    <w:unhideWhenUsed/>
    <w:qFormat/>
    <w:rsid w:val="00cc2101"/>
    <w:pPr>
      <w:keepNext w:val="true"/>
      <w:keepLines/>
      <w:spacing w:before="200" w:after="0"/>
      <w:ind w:hanging="0"/>
      <w:outlineLvl w:val="6"/>
    </w:pPr>
    <w:rPr>
      <w:rFonts w:ascii="Garamond" w:hAnsi="Garamond" w:eastAsia="" w:cs="" w:cstheme="majorBidi" w:eastAsiaTheme="majorEastAsia"/>
      <w:sz w:val="24"/>
    </w:rPr>
  </w:style>
  <w:style w:type="paragraph" w:styleId="Heading8">
    <w:name w:val="Heading 8"/>
    <w:basedOn w:val="Normal"/>
    <w:next w:val="TextBody"/>
    <w:uiPriority w:val="9"/>
    <w:unhideWhenUsed/>
    <w:qFormat/>
    <w:rsid w:val="00cc2101"/>
    <w:pPr>
      <w:keepNext w:val="true"/>
      <w:keepLines/>
      <w:spacing w:before="200" w:after="0"/>
      <w:ind w:hanging="0"/>
      <w:outlineLvl w:val="7"/>
    </w:pPr>
    <w:rPr>
      <w:rFonts w:ascii="Garamond" w:hAnsi="Garamond" w:eastAsia="" w:cs="" w:cstheme="majorBidi" w:eastAsiaTheme="majorEastAsia"/>
    </w:rPr>
  </w:style>
  <w:style w:type="paragraph" w:styleId="Heading9">
    <w:name w:val="Heading 9"/>
    <w:basedOn w:val="Normal"/>
    <w:next w:val="TextBody"/>
    <w:uiPriority w:val="9"/>
    <w:unhideWhenUsed/>
    <w:qFormat/>
    <w:rsid w:val="00cc2101"/>
    <w:pPr>
      <w:keepNext w:val="true"/>
      <w:keepLines/>
      <w:spacing w:before="200" w:after="0"/>
      <w:ind w:hanging="0"/>
      <w:outlineLvl w:val="8"/>
    </w:pPr>
    <w:rPr>
      <w:rFonts w:ascii="Garamond" w:hAnsi="Garamond" w:eastAsia="" w:cs="" w:cstheme="majorBidi" w:eastAsiaTheme="majorEastAsia"/>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qFormat/>
    <w:rPr>
      <w:rFonts w:ascii="Consolas" w:hAnsi="Consolas"/>
      <w:sz w:val="22"/>
    </w:rPr>
  </w:style>
  <w:style w:type="character" w:styleId="FootnoteCharacters">
    <w:name w:val="Footnote Characters"/>
    <w:basedOn w:val="CaptionChar"/>
    <w:qFormat/>
    <w:rPr>
      <w:vertAlign w:val="superscript"/>
    </w:rPr>
  </w:style>
  <w:style w:type="character" w:styleId="FootnoteAnchor">
    <w:name w:val="Footnote Anchor"/>
    <w:rPr>
      <w:vertAlign w:val="superscript"/>
    </w:rPr>
  </w:style>
  <w:style w:type="character" w:styleId="InternetLink">
    <w:name w:val="Hyperlink"/>
    <w:basedOn w:val="CaptionChar"/>
    <w:rPr>
      <w:color w:val="4F81BD" w:themeColor="accent1"/>
    </w:rPr>
  </w:style>
  <w:style w:type="character" w:styleId="BodyTextChar" w:customStyle="1">
    <w:name w:val="Body Text Char"/>
    <w:basedOn w:val="DefaultParagraphFont"/>
    <w:link w:val="BodyText"/>
    <w:qFormat/>
    <w:rsid w:val="00c06b94"/>
    <w:rPr>
      <w:rFonts w:ascii="Garamond" w:hAnsi="Garamond"/>
    </w:rPr>
  </w:style>
  <w:style w:type="character" w:styleId="VisitedInternetLink">
    <w:name w:val="FollowedHyperlink"/>
    <w:basedOn w:val="DefaultParagraphFont"/>
    <w:semiHidden/>
    <w:unhideWhenUsed/>
    <w:rsid w:val="00a4342f"/>
    <w:rPr>
      <w:color w:val="800080" w:themeColor="followedHyperlink"/>
      <w:u w:val="single"/>
    </w:rPr>
  </w:style>
  <w:style w:type="character" w:styleId="Linenumber">
    <w:name w:val="line number"/>
    <w:basedOn w:val="DefaultParagraphFont"/>
    <w:semiHidden/>
    <w:unhideWhenUsed/>
    <w:qFormat/>
    <w:rsid w:val="005c1159"/>
    <w:rPr/>
  </w:style>
  <w:style w:type="character" w:styleId="LineNumbering">
    <w:name w:val="Line Numbering"/>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link w:val="BodyTextChar"/>
    <w:qFormat/>
    <w:rsid w:val="00c06b94"/>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rsid w:val="00b00c79"/>
    <w:pPr/>
    <w:rPr/>
  </w:style>
  <w:style w:type="paragraph" w:styleId="Compact" w:customStyle="1">
    <w:name w:val="Compact"/>
    <w:basedOn w:val="TextBody"/>
    <w:qFormat/>
    <w:rsid w:val="00f96615"/>
    <w:pPr>
      <w:spacing w:before="40" w:after="40"/>
      <w:jc w:val="left"/>
    </w:pPr>
    <w:rPr/>
  </w:style>
  <w:style w:type="paragraph" w:styleId="Title">
    <w:name w:val="Title"/>
    <w:basedOn w:val="Normal"/>
    <w:next w:val="TextBody"/>
    <w:qFormat/>
    <w:rsid w:val="006d2f10"/>
    <w:pPr>
      <w:keepNext w:val="true"/>
      <w:keepLines/>
      <w:spacing w:before="480" w:after="0"/>
      <w:jc w:val="center"/>
    </w:pPr>
    <w:rPr>
      <w:rFonts w:ascii="Garamond" w:hAnsi="Garamond" w:eastAsia="" w:cs="" w:cstheme="majorBidi" w:eastAsiaTheme="majorEastAsia"/>
      <w:b/>
      <w:bCs/>
      <w:sz w:val="36"/>
      <w:szCs w:val="36"/>
    </w:rPr>
  </w:style>
  <w:style w:type="paragraph" w:styleId="Subtitle">
    <w:name w:val="Subtitle"/>
    <w:basedOn w:val="Title"/>
    <w:next w:val="TextBody"/>
    <w:qFormat/>
    <w:rsid w:val="006d2f10"/>
    <w:pPr>
      <w:spacing w:before="0" w:after="240"/>
    </w:pPr>
    <w:rPr>
      <w:sz w:val="30"/>
      <w:szCs w:val="30"/>
    </w:rPr>
  </w:style>
  <w:style w:type="paragraph" w:styleId="Author" w:customStyle="1">
    <w:name w:val="Author"/>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Date">
    <w:name w:val="Date"/>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Abstract" w:customStyle="1">
    <w:name w:val="Abstract"/>
    <w:basedOn w:val="Normal"/>
    <w:next w:val="TextBody"/>
    <w:qFormat/>
    <w:rsid w:val="00cc2101"/>
    <w:pPr>
      <w:keepNext w:val="true"/>
      <w:keepLines/>
      <w:spacing w:before="300" w:after="300"/>
    </w:pPr>
    <w:rPr>
      <w:rFonts w:ascii="Garamond" w:hAnsi="Garamond"/>
      <w:sz w:val="20"/>
      <w:szCs w:val="20"/>
    </w:rPr>
  </w:style>
  <w:style w:type="paragraph" w:styleId="Bibliography">
    <w:name w:val="Bibliography"/>
    <w:basedOn w:val="Normal"/>
    <w:qFormat/>
    <w:rsid w:val="003761c7"/>
    <w:pPr/>
    <w:rPr>
      <w:rFonts w:ascii="Garamond" w:hAnsi="Garamond"/>
      <w:sz w:val="22"/>
    </w:rPr>
  </w:style>
  <w:style w:type="paragraph" w:styleId="BlockText">
    <w:name w:val="Block Text"/>
    <w:basedOn w:val="TextBody"/>
    <w:next w:val="TextBody"/>
    <w:uiPriority w:val="9"/>
    <w:unhideWhenUsed/>
    <w:qFormat/>
    <w:rsid w:val="00cc2101"/>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rsid w:val="00cc2101"/>
    <w:pPr>
      <w:keepNext w:val="true"/>
      <w:keepLines/>
      <w:spacing w:before="0" w:after="0"/>
    </w:pPr>
    <w:rPr>
      <w:rFonts w:ascii="Garamond" w:hAnsi="Garamond"/>
      <w:b/>
    </w:rPr>
  </w:style>
  <w:style w:type="paragraph" w:styleId="Definition" w:customStyle="1">
    <w:name w:val="Definition"/>
    <w:basedOn w:val="Normal"/>
    <w:qFormat/>
    <w:rsid w:val="00cc2101"/>
    <w:pPr/>
    <w:rPr>
      <w:rFonts w:ascii="Garamond" w:hAnsi="Garamond"/>
    </w:rPr>
  </w:style>
  <w:style w:type="paragraph" w:styleId="Caption1">
    <w:name w:val="caption"/>
    <w:basedOn w:val="Normal"/>
    <w:link w:val="CaptionChar"/>
    <w:qFormat/>
    <w:pPr>
      <w:spacing w:before="0" w:after="120"/>
    </w:pPr>
    <w:rPr>
      <w:i/>
    </w:rPr>
  </w:style>
  <w:style w:type="paragraph" w:styleId="TableCaption" w:customStyle="1">
    <w:name w:val="Table Caption"/>
    <w:basedOn w:val="Caption1"/>
    <w:qFormat/>
    <w:rsid w:val="00a4342f"/>
    <w:pPr>
      <w:keepNext w:val="true"/>
      <w:jc w:val="center"/>
    </w:pPr>
    <w:rPr>
      <w:rFonts w:ascii="Garamond" w:hAnsi="Garamond"/>
    </w:rPr>
  </w:style>
  <w:style w:type="paragraph" w:styleId="ImageCaption" w:customStyle="1">
    <w:name w:val="Image Caption"/>
    <w:basedOn w:val="Caption1"/>
    <w:qFormat/>
    <w:rsid w:val="00cc2101"/>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name w:val="Heading 10"/>
    <w:basedOn w:val="Heading"/>
    <w:next w:val="TextBody"/>
    <w:qFormat/>
    <w:pPr>
      <w:spacing w:before="60" w:after="60"/>
      <w:outlineLvl w:val="8"/>
    </w:pPr>
    <w:rPr>
      <w:b/>
      <w:bCs/>
      <w:sz w:val="21"/>
      <w:szCs w:val="21"/>
    </w:rPr>
  </w:style>
  <w:style w:type="paragraph" w:styleId="Bullet">
    <w:name w:val="Bullet"/>
    <w:basedOn w:val="Definition"/>
    <w:qFormat/>
    <w:pPr/>
    <w:rPr/>
  </w:style>
  <w:style w:type="paragraph" w:styleId="ComplimentaryClose">
    <w:name w:val="Salutation"/>
    <w:basedOn w:val="Normal"/>
    <w:pPr>
      <w:suppressLineNumbers/>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SourceCode" w:customStyle="1">
    <w:name w:val="Source Code"/>
    <w:basedOn w:val="Normal"/>
    <w:link w:val="VerbatimChar"/>
    <w:qFormat/>
    <w:pPr>
      <w:shd w:val="clear" w:fill="F8F8F8"/>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 w:type="table" w:styleId="TableGrid">
    <w:name w:val="Table Grid"/>
    <w:basedOn w:val="TableNormal"/>
    <w:rsid w:val="00a5445e"/>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4">
    <w:name w:val="Plain Table 4"/>
    <w:basedOn w:val="TableNormal"/>
    <w:rsid w:val="00ba2ec8"/>
    <w:pPr>
      <w:spacing w:after="0"/>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rsid w:val="00ba2ec8"/>
    <w:pPr>
      <w:spacing w:after="0"/>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ridTable2">
    <w:name w:val="Grid Table 2"/>
    <w:basedOn w:val="TableNormal"/>
    <w:rsid w:val="00ba2ec8"/>
    <w:pPr>
      <w:spacing w:after="0"/>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sz="12" w:space="0"/>
          <w:insideH w:val="nil"/>
          <w:insideV w:val="nil"/>
        </w:tcBorders>
        <w:shd w:val="clear" w:color="auto" w:fill="FFFFFF" w:themeFill="background1"/>
      </w:tcPr>
    </w:tblStylePr>
    <w:tblStylePr w:type="lastRow">
      <w:rPr>
        <w:b/>
        <w:bCs/>
      </w:rPr>
      <w:tblPr/>
      <w:tcPr>
        <w:tcBorders>
          <w:top w:val="double" w:color="666666"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rsid w:val="00ba2ec8"/>
    <w:pPr>
      <w:spacing w:after="0"/>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styleId="PlainTable1">
    <w:name w:val="Plain Table 1"/>
    <w:basedOn w:val="TableNormal"/>
    <w:rsid w:val="0089359b"/>
    <w:pPr>
      <w:spacing w:after="0"/>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doi.org/10.1002/ecy.1880"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hyperlink" Target="https://doi.org/10.1016/j.jaridenv.2008.09.028" TargetMode="External"/><Relationship Id="rId38" Type="http://schemas.openxmlformats.org/officeDocument/2006/relationships/hyperlink" Target="https://doi.org/10.7717/peerj.2559" TargetMode="External"/><Relationship Id="rId39" Type="http://schemas.openxmlformats.org/officeDocument/2006/relationships/hyperlink" Target="https://doi.org/10.1093/aobpla/plu068" TargetMode="External"/><Relationship Id="rId40" Type="http://schemas.openxmlformats.org/officeDocument/2006/relationships/hyperlink" Target="https://doi.org/10.1111/j.1570-7458.2011.01111.x" TargetMode="External"/><Relationship Id="rId41" Type="http://schemas.openxmlformats.org/officeDocument/2006/relationships/hyperlink" Target="https://CRAN.R-project.org/package=maptools" TargetMode="External"/><Relationship Id="rId42" Type="http://schemas.openxmlformats.org/officeDocument/2006/relationships/hyperlink" Target="https://doi.org/10.1016/j.dendro.2008.01.002" TargetMode="External"/><Relationship Id="rId43" Type="http://schemas.openxmlformats.org/officeDocument/2006/relationships/hyperlink" Target="https://doi.org/10.1016/S0076-6879(08)03806-8" TargetMode="External"/><Relationship Id="rId44" Type="http://schemas.openxmlformats.org/officeDocument/2006/relationships/hyperlink" Target="https://doi.org/10.1016/j.jaridenv.2011.04.034" TargetMode="External"/><Relationship Id="rId45" Type="http://schemas.openxmlformats.org/officeDocument/2006/relationships/hyperlink" Target="https://CRAN.R-project.org/package=pracma" TargetMode="External"/><Relationship Id="rId46" Type="http://schemas.openxmlformats.org/officeDocument/2006/relationships/hyperlink" Target="https://doi.org/10.1093/conphys/coz044" TargetMode="External"/><Relationship Id="rId47" Type="http://schemas.openxmlformats.org/officeDocument/2006/relationships/hyperlink" Target="https://doi.org/10.1890/11-2241.1" TargetMode="External"/><Relationship Id="rId48" Type="http://schemas.openxmlformats.org/officeDocument/2006/relationships/hyperlink" Target="https://doi.org/10.1177/0748730417709105" TargetMode="External"/><Relationship Id="rId49" Type="http://schemas.openxmlformats.org/officeDocument/2006/relationships/hyperlink" Target="https://doi.org/10.1111/2041-210X.12657" TargetMode="External"/><Relationship Id="rId50" Type="http://schemas.openxmlformats.org/officeDocument/2006/relationships/hyperlink" Target="https://doi.org/10.1111/ele.13610" TargetMode="External"/><Relationship Id="rId51" Type="http://schemas.openxmlformats.org/officeDocument/2006/relationships/hyperlink" Target="https://doi.org/10.1186/s40462-018-0127-3" TargetMode="External"/><Relationship Id="rId52" Type="http://schemas.openxmlformats.org/officeDocument/2006/relationships/hyperlink" Target="https://doi.org/10.1002/ece3.4740" TargetMode="External"/><Relationship Id="rId53" Type="http://schemas.openxmlformats.org/officeDocument/2006/relationships/hyperlink" Target="https://doi.org/10.1111/j.1365-2656.2009.01583.x" TargetMode="External"/><Relationship Id="rId54" Type="http://schemas.openxmlformats.org/officeDocument/2006/relationships/hyperlink" Target="https://doi.org/10.1007/s13253-017-0283-8" TargetMode="External"/><Relationship Id="rId55" Type="http://schemas.openxmlformats.org/officeDocument/2006/relationships/hyperlink" Target="https://doi.org/10.1371/journal.pone.0031187" TargetMode="External"/><Relationship Id="rId56" Type="http://schemas.openxmlformats.org/officeDocument/2006/relationships/hyperlink" Target="https://www.R-project.org/" TargetMode="External"/><Relationship Id="rId57" Type="http://schemas.openxmlformats.org/officeDocument/2006/relationships/hyperlink" Target="https://doi.org/10.1076/brhm.30.2.178.1422" TargetMode="External"/><Relationship Id="rId58" Type="http://schemas.openxmlformats.org/officeDocument/2006/relationships/hyperlink" Target="https://doi.org/10.3354/ab00104" TargetMode="External"/><Relationship Id="rId59" Type="http://schemas.openxmlformats.org/officeDocument/2006/relationships/hyperlink" Target="https://doi.org/10.1371/journal.pone.0037918" TargetMode="External"/><Relationship Id="rId60" Type="http://schemas.openxmlformats.org/officeDocument/2006/relationships/hyperlink" Target="https://doi.org/10.1080/07420520802686331" TargetMode="External"/><Relationship Id="rId61" Type="http://schemas.openxmlformats.org/officeDocument/2006/relationships/hyperlink" Target="https://doi.org/10.1111/1365-2656.12290" TargetMode="External"/><Relationship Id="rId62" Type="http://schemas.openxmlformats.org/officeDocument/2006/relationships/hyperlink" Target="https://doi.org/10.1644/14-MAMM-A-062" TargetMode="Externa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Application>LibreOffice/7.1.1.2$Linux_X86_64 LibreOffice_project/10$Build-2</Application>
  <AppVersion>15.0000</AppVersion>
  <Pages>60</Pages>
  <Words>6612</Words>
  <Characters>36693</Characters>
  <CharactersWithSpaces>43123</CharactersWithSpaces>
  <Paragraphs>201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2021-09-20T13:17:44Z</dcterms:created>
  <dc:creator/>
  <dc:description/>
  <dc:language>en-US</dc:language>
  <cp:lastModifiedBy/>
  <dcterms:modified xsi:type="dcterms:W3CDTF">2021-09-20T15:13:54Z</dcterms:modified>
  <cp:revision>1</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09</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word_document</vt:lpwstr>
  </property>
  <property fmtid="{D5CDD505-2E9C-101B-9397-08002B2CF9AE}" pid="23" name="site">
    <vt:lpwstr>bookdown::bookdown_site</vt:lpwstr>
  </property>
  <property fmtid="{D5CDD505-2E9C-101B-9397-08002B2CF9AE}" pid="24" name="thanks">
    <vt:lpwstr/>
  </property>
</Properties>
</file>